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22, 2025.</w:t>
      </w:r>
    </w:p>
    <w:p>
      <w:pPr>
        <w:spacing w:after="0" w:line="136" w:lineRule="exact"/>
        <w:rPr>
          <w:sz w:val="24"/>
          <w:szCs w:val="24"/>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6343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102235</wp:posOffset>
            </wp:positionV>
            <wp:extent cx="6343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68580</wp:posOffset>
            </wp:positionV>
            <wp:extent cx="1731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60325</wp:posOffset>
            </wp:positionV>
            <wp:extent cx="1731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MBX Biosciences, Inc.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64770</wp:posOffset>
            </wp:positionV>
            <wp:extent cx="1731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46" w:lineRule="exact"/>
        <w:rPr>
          <w:sz w:val="24"/>
          <w:szCs w:val="24"/>
          <w:color w:val="auto"/>
        </w:rPr>
      </w:pPr>
    </w:p>
    <w:tbl>
      <w:tblPr>
        <w:tblLayout w:type="fixed"/>
        <w:tblInd w:w="680" w:type="dxa"/>
        <w:tblCellMar>
          <w:top w:w="0" w:type="dxa"/>
          <w:left w:w="0" w:type="dxa"/>
          <w:bottom w:w="0" w:type="dxa"/>
          <w:right w:w="0" w:type="dxa"/>
        </w:tblCellMar>
      </w:tblPr>
      <w:tr>
        <w:trPr>
          <w:trHeight w:val="172"/>
        </w:trPr>
        <w:tc>
          <w:tcPr>
            <w:tcW w:w="2580" w:type="dxa"/>
            <w:vAlign w:val="bottom"/>
          </w:tcPr>
          <w:p>
            <w:pPr>
              <w:jc w:val="center"/>
              <w:ind w:right="89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560" w:type="dxa"/>
            <w:vAlign w:val="bottom"/>
          </w:tcPr>
          <w:p>
            <w:pPr>
              <w:jc w:val="center"/>
              <w:ind w:right="33"/>
              <w:spacing w:after="0"/>
              <w:rPr>
                <w:sz w:val="20"/>
                <w:szCs w:val="20"/>
                <w:color w:val="auto"/>
              </w:rPr>
            </w:pPr>
            <w:r>
              <w:rPr>
                <w:rFonts w:ascii="Times New Roman" w:cs="Times New Roman" w:eastAsia="Times New Roman" w:hAnsi="Times New Roman"/>
                <w:sz w:val="15"/>
                <w:szCs w:val="15"/>
                <w:b w:val="1"/>
                <w:bCs w:val="1"/>
                <w:color w:val="auto"/>
                <w:w w:val="99"/>
              </w:rPr>
              <w:t>2834</w:t>
            </w:r>
          </w:p>
        </w:tc>
        <w:tc>
          <w:tcPr>
            <w:tcW w:w="2280" w:type="dxa"/>
            <w:vAlign w:val="bottom"/>
          </w:tcPr>
          <w:p>
            <w:pPr>
              <w:jc w:val="center"/>
              <w:ind w:left="993"/>
              <w:spacing w:after="0"/>
              <w:rPr>
                <w:sz w:val="20"/>
                <w:szCs w:val="20"/>
                <w:color w:val="auto"/>
              </w:rPr>
            </w:pPr>
            <w:r>
              <w:rPr>
                <w:rFonts w:ascii="Times New Roman" w:cs="Times New Roman" w:eastAsia="Times New Roman" w:hAnsi="Times New Roman"/>
                <w:sz w:val="15"/>
                <w:szCs w:val="15"/>
                <w:b w:val="1"/>
                <w:bCs w:val="1"/>
                <w:color w:val="auto"/>
              </w:rPr>
              <w:t>84-1882872</w:t>
            </w:r>
          </w:p>
        </w:tc>
      </w:tr>
      <w:tr>
        <w:trPr>
          <w:trHeight w:val="135"/>
        </w:trPr>
        <w:tc>
          <w:tcPr>
            <w:tcW w:w="2580" w:type="dxa"/>
            <w:vAlign w:val="bottom"/>
          </w:tcPr>
          <w:p>
            <w:pPr>
              <w:jc w:val="center"/>
              <w:ind w:right="89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56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(Primary Standard Industrial</w:t>
            </w:r>
          </w:p>
        </w:tc>
        <w:tc>
          <w:tcPr>
            <w:tcW w:w="2280" w:type="dxa"/>
            <w:vAlign w:val="bottom"/>
          </w:tcPr>
          <w:p>
            <w:pPr>
              <w:jc w:val="center"/>
              <w:ind w:left="973"/>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580" w:type="dxa"/>
            <w:vAlign w:val="bottom"/>
          </w:tcPr>
          <w:p>
            <w:pPr>
              <w:jc w:val="center"/>
              <w:ind w:right="87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5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280" w:type="dxa"/>
            <w:vAlign w:val="bottom"/>
          </w:tcPr>
          <w:p>
            <w:pPr>
              <w:jc w:val="center"/>
              <w:ind w:left="973"/>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MBX Biosciences, Inc.</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11711 N. Meridian Street, Suite 300</w:t>
      </w:r>
    </w:p>
    <w:p>
      <w:pPr>
        <w:jc w:val="center"/>
        <w:ind w:right="-19"/>
        <w:spacing w:after="0" w:line="225" w:lineRule="auto"/>
        <w:rPr>
          <w:sz w:val="20"/>
          <w:szCs w:val="20"/>
          <w:color w:val="auto"/>
        </w:rPr>
      </w:pPr>
      <w:r>
        <w:rPr>
          <w:rFonts w:ascii="Times New Roman" w:cs="Times New Roman" w:eastAsia="Times New Roman" w:hAnsi="Times New Roman"/>
          <w:sz w:val="15"/>
          <w:szCs w:val="15"/>
          <w:b w:val="1"/>
          <w:bCs w:val="1"/>
          <w:color w:val="auto"/>
        </w:rPr>
        <w:t>Carmel, Indiana 46032</w:t>
      </w:r>
    </w:p>
    <w:p>
      <w:pPr>
        <w:jc w:val="center"/>
        <w:ind w:right="-19"/>
        <w:spacing w:after="0" w:line="221" w:lineRule="auto"/>
        <w:rPr>
          <w:sz w:val="20"/>
          <w:szCs w:val="20"/>
          <w:color w:val="auto"/>
        </w:rPr>
      </w:pPr>
      <w:r>
        <w:rPr>
          <w:rFonts w:ascii="Times New Roman" w:cs="Times New Roman" w:eastAsia="Times New Roman" w:hAnsi="Times New Roman"/>
          <w:sz w:val="15"/>
          <w:szCs w:val="15"/>
          <w:b w:val="1"/>
          <w:bCs w:val="1"/>
          <w:color w:val="auto"/>
        </w:rPr>
        <w:t>(317) 659-0200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53340</wp:posOffset>
            </wp:positionV>
            <wp:extent cx="1731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 Kent Hawryluk</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President and Chief Executive Officer</w:t>
      </w:r>
    </w:p>
    <w:p>
      <w:pPr>
        <w:jc w:val="center"/>
        <w:ind w:right="-19"/>
        <w:spacing w:after="0" w:line="225" w:lineRule="auto"/>
        <w:rPr>
          <w:sz w:val="20"/>
          <w:szCs w:val="20"/>
          <w:color w:val="auto"/>
        </w:rPr>
      </w:pPr>
      <w:r>
        <w:rPr>
          <w:rFonts w:ascii="Times New Roman" w:cs="Times New Roman" w:eastAsia="Times New Roman" w:hAnsi="Times New Roman"/>
          <w:sz w:val="15"/>
          <w:szCs w:val="15"/>
          <w:b w:val="1"/>
          <w:bCs w:val="1"/>
          <w:color w:val="auto"/>
        </w:rPr>
        <w:t>MBX Biosciences, Inc.</w:t>
      </w:r>
    </w:p>
    <w:p>
      <w:pPr>
        <w:jc w:val="center"/>
        <w:ind w:right="-19"/>
        <w:spacing w:after="0" w:line="225" w:lineRule="auto"/>
        <w:rPr>
          <w:sz w:val="20"/>
          <w:szCs w:val="20"/>
          <w:color w:val="auto"/>
        </w:rPr>
      </w:pPr>
      <w:r>
        <w:rPr>
          <w:rFonts w:ascii="Times New Roman" w:cs="Times New Roman" w:eastAsia="Times New Roman" w:hAnsi="Times New Roman"/>
          <w:sz w:val="15"/>
          <w:szCs w:val="15"/>
          <w:b w:val="1"/>
          <w:bCs w:val="1"/>
          <w:color w:val="auto"/>
        </w:rPr>
        <w:t>11711 N. Meridian Street, Suite 300</w:t>
      </w:r>
    </w:p>
    <w:p>
      <w:pPr>
        <w:jc w:val="center"/>
        <w:ind w:right="-19"/>
        <w:spacing w:after="0" w:line="226" w:lineRule="auto"/>
        <w:rPr>
          <w:sz w:val="20"/>
          <w:szCs w:val="20"/>
          <w:color w:val="auto"/>
        </w:rPr>
      </w:pPr>
      <w:r>
        <w:rPr>
          <w:rFonts w:ascii="Times New Roman" w:cs="Times New Roman" w:eastAsia="Times New Roman" w:hAnsi="Times New Roman"/>
          <w:sz w:val="15"/>
          <w:szCs w:val="15"/>
          <w:b w:val="1"/>
          <w:bCs w:val="1"/>
          <w:color w:val="auto"/>
        </w:rPr>
        <w:t>Carmel, Indiana 46032</w:t>
      </w:r>
    </w:p>
    <w:p>
      <w:pPr>
        <w:jc w:val="center"/>
        <w:ind w:right="-19"/>
        <w:spacing w:after="0" w:line="221" w:lineRule="auto"/>
        <w:rPr>
          <w:sz w:val="20"/>
          <w:szCs w:val="20"/>
          <w:color w:val="auto"/>
        </w:rPr>
      </w:pPr>
      <w:r>
        <w:rPr>
          <w:rFonts w:ascii="Times New Roman" w:cs="Times New Roman" w:eastAsia="Times New Roman" w:hAnsi="Times New Roman"/>
          <w:sz w:val="15"/>
          <w:szCs w:val="15"/>
          <w:b w:val="1"/>
          <w:bCs w:val="1"/>
          <w:color w:val="auto"/>
        </w:rPr>
        <w:t>(317) 659-0200</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53340</wp:posOffset>
            </wp:positionV>
            <wp:extent cx="1731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19" w:lineRule="exact"/>
        <w:rPr>
          <w:sz w:val="24"/>
          <w:szCs w:val="24"/>
          <w:color w:val="auto"/>
        </w:rPr>
      </w:pPr>
    </w:p>
    <w:tbl>
      <w:tblPr>
        <w:tblLayout w:type="fixed"/>
        <w:tblInd w:w="14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5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61"/>
        </w:trPr>
        <w:tc>
          <w:tcPr>
            <w:tcW w:w="250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Mitchell S. Bloom</w:t>
            </w:r>
          </w:p>
        </w:tc>
        <w:tc>
          <w:tcPr>
            <w:tcW w:w="4560" w:type="dxa"/>
            <w:vAlign w:val="bottom"/>
          </w:tcPr>
          <w:p>
            <w:pPr>
              <w:jc w:val="center"/>
              <w:ind w:left="2708"/>
              <w:spacing w:after="0"/>
              <w:rPr>
                <w:sz w:val="20"/>
                <w:szCs w:val="20"/>
                <w:color w:val="auto"/>
              </w:rPr>
            </w:pPr>
            <w:r>
              <w:rPr>
                <w:rFonts w:ascii="Times New Roman" w:cs="Times New Roman" w:eastAsia="Times New Roman" w:hAnsi="Times New Roman"/>
                <w:sz w:val="14"/>
                <w:szCs w:val="14"/>
                <w:b w:val="1"/>
                <w:bCs w:val="1"/>
                <w:color w:val="auto"/>
              </w:rPr>
              <w:t>Richard D. Truesdell, Jr.</w:t>
            </w:r>
          </w:p>
        </w:tc>
      </w:tr>
      <w:tr>
        <w:trPr>
          <w:trHeight w:val="148"/>
        </w:trPr>
        <w:tc>
          <w:tcPr>
            <w:tcW w:w="2500" w:type="dxa"/>
            <w:vAlign w:val="bottom"/>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Edwin O’Connor</w:t>
            </w:r>
          </w:p>
        </w:tc>
        <w:tc>
          <w:tcPr>
            <w:tcW w:w="4560" w:type="dxa"/>
            <w:vAlign w:val="bottom"/>
          </w:tcPr>
          <w:p>
            <w:pPr>
              <w:jc w:val="center"/>
              <w:ind w:left="2708"/>
              <w:spacing w:after="0" w:line="149" w:lineRule="exact"/>
              <w:rPr>
                <w:sz w:val="20"/>
                <w:szCs w:val="20"/>
                <w:color w:val="auto"/>
              </w:rPr>
            </w:pPr>
            <w:r>
              <w:rPr>
                <w:rFonts w:ascii="Times New Roman" w:cs="Times New Roman" w:eastAsia="Times New Roman" w:hAnsi="Times New Roman"/>
                <w:sz w:val="14"/>
                <w:szCs w:val="14"/>
                <w:b w:val="1"/>
                <w:bCs w:val="1"/>
                <w:color w:val="auto"/>
              </w:rPr>
              <w:t>Yasin Keshvargar</w:t>
            </w:r>
          </w:p>
        </w:tc>
      </w:tr>
      <w:tr>
        <w:trPr>
          <w:trHeight w:val="149"/>
        </w:trPr>
        <w:tc>
          <w:tcPr>
            <w:tcW w:w="2500" w:type="dxa"/>
            <w:vAlign w:val="bottom"/>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Goodwin Procter LLP</w:t>
            </w:r>
          </w:p>
        </w:tc>
        <w:tc>
          <w:tcPr>
            <w:tcW w:w="4560" w:type="dxa"/>
            <w:vAlign w:val="bottom"/>
          </w:tcPr>
          <w:p>
            <w:pPr>
              <w:jc w:val="center"/>
              <w:ind w:left="2708"/>
              <w:spacing w:after="0" w:line="149" w:lineRule="exact"/>
              <w:rPr>
                <w:sz w:val="20"/>
                <w:szCs w:val="20"/>
                <w:color w:val="auto"/>
              </w:rPr>
            </w:pPr>
            <w:r>
              <w:rPr>
                <w:rFonts w:ascii="Times New Roman" w:cs="Times New Roman" w:eastAsia="Times New Roman" w:hAnsi="Times New Roman"/>
                <w:sz w:val="14"/>
                <w:szCs w:val="14"/>
                <w:b w:val="1"/>
                <w:bCs w:val="1"/>
                <w:color w:val="auto"/>
              </w:rPr>
              <w:t>Arisa A. Sin</w:t>
            </w:r>
          </w:p>
        </w:tc>
      </w:tr>
      <w:tr>
        <w:trPr>
          <w:trHeight w:val="148"/>
        </w:trPr>
        <w:tc>
          <w:tcPr>
            <w:tcW w:w="250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100 Northern Avenue</w:t>
            </w:r>
          </w:p>
        </w:tc>
        <w:tc>
          <w:tcPr>
            <w:tcW w:w="4560" w:type="dxa"/>
            <w:vAlign w:val="bottom"/>
          </w:tcPr>
          <w:p>
            <w:pPr>
              <w:jc w:val="center"/>
              <w:ind w:left="270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8"/>
        </w:trPr>
        <w:tc>
          <w:tcPr>
            <w:tcW w:w="2500" w:type="dxa"/>
            <w:vAlign w:val="bottom"/>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Boston, Massachusetts 02210</w:t>
            </w:r>
          </w:p>
        </w:tc>
        <w:tc>
          <w:tcPr>
            <w:tcW w:w="4560" w:type="dxa"/>
            <w:vAlign w:val="bottom"/>
          </w:tcPr>
          <w:p>
            <w:pPr>
              <w:jc w:val="center"/>
              <w:ind w:left="2708"/>
              <w:spacing w:after="0" w:line="149" w:lineRule="exact"/>
              <w:rPr>
                <w:sz w:val="20"/>
                <w:szCs w:val="20"/>
                <w:color w:val="auto"/>
              </w:rPr>
            </w:pPr>
            <w:r>
              <w:rPr>
                <w:rFonts w:ascii="Times New Roman" w:cs="Times New Roman" w:eastAsia="Times New Roman" w:hAnsi="Times New Roman"/>
                <w:sz w:val="14"/>
                <w:szCs w:val="14"/>
                <w:b w:val="1"/>
                <w:bCs w:val="1"/>
                <w:color w:val="auto"/>
              </w:rPr>
              <w:t>450 Lexington Avenue</w:t>
            </w:r>
          </w:p>
        </w:tc>
      </w:tr>
      <w:tr>
        <w:trPr>
          <w:trHeight w:val="149"/>
        </w:trPr>
        <w:tc>
          <w:tcPr>
            <w:tcW w:w="2500" w:type="dxa"/>
            <w:vAlign w:val="bottom"/>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(617) 570-1000</w:t>
            </w:r>
          </w:p>
        </w:tc>
        <w:tc>
          <w:tcPr>
            <w:tcW w:w="4560" w:type="dxa"/>
            <w:vAlign w:val="bottom"/>
          </w:tcPr>
          <w:p>
            <w:pPr>
              <w:jc w:val="center"/>
              <w:ind w:left="270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10017</w:t>
            </w:r>
          </w:p>
        </w:tc>
      </w:tr>
      <w:tr>
        <w:trPr>
          <w:trHeight w:val="190"/>
        </w:trPr>
        <w:tc>
          <w:tcPr>
            <w:tcW w:w="2500" w:type="dxa"/>
            <w:vAlign w:val="bottom"/>
          </w:tcPr>
          <w:p>
            <w:pPr>
              <w:spacing w:after="0"/>
              <w:rPr>
                <w:sz w:val="16"/>
                <w:szCs w:val="16"/>
                <w:color w:val="auto"/>
              </w:rPr>
            </w:pPr>
          </w:p>
        </w:tc>
        <w:tc>
          <w:tcPr>
            <w:tcW w:w="4560" w:type="dxa"/>
            <w:vAlign w:val="bottom"/>
          </w:tcPr>
          <w:p>
            <w:pPr>
              <w:jc w:val="center"/>
              <w:ind w:left="2708"/>
              <w:spacing w:after="0"/>
              <w:rPr>
                <w:sz w:val="20"/>
                <w:szCs w:val="20"/>
                <w:color w:val="auto"/>
              </w:rPr>
            </w:pPr>
            <w:r>
              <w:rPr>
                <w:rFonts w:ascii="Times New Roman" w:cs="Times New Roman" w:eastAsia="Times New Roman" w:hAnsi="Times New Roman"/>
                <w:sz w:val="14"/>
                <w:szCs w:val="14"/>
                <w:b w:val="1"/>
                <w:bCs w:val="1"/>
                <w:color w:val="auto"/>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57785</wp:posOffset>
            </wp:positionV>
            <wp:extent cx="1731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the effective date of this registration statement.</w:t>
      </w:r>
    </w:p>
    <w:p>
      <w:pPr>
        <w:spacing w:after="0" w:line="48" w:lineRule="exact"/>
        <w:rPr>
          <w:sz w:val="24"/>
          <w:szCs w:val="24"/>
          <w:color w:val="auto"/>
        </w:rPr>
      </w:pPr>
    </w:p>
    <w:p>
      <w:pPr>
        <w:ind w:right="220" w:firstLine="441"/>
        <w:spacing w:after="0" w:line="199"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firstLine="441"/>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right="420" w:firstLine="441"/>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right="400" w:firstLine="441"/>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right="120" w:firstLine="441"/>
        <w:spacing w:after="0" w:line="23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3"/>
        </w:trPr>
        <w:tc>
          <w:tcPr>
            <w:tcW w:w="1660" w:type="dxa"/>
            <w:vAlign w:val="bottom"/>
          </w:tcPr>
          <w:p>
            <w:pPr>
              <w:spacing w:after="0" w:line="153" w:lineRule="exact"/>
              <w:rPr>
                <w:sz w:val="20"/>
                <w:szCs w:val="20"/>
                <w:color w:val="auto"/>
              </w:rPr>
            </w:pPr>
            <w:r>
              <w:rPr>
                <w:rFonts w:ascii="Times New Roman" w:cs="Times New Roman" w:eastAsia="Times New Roman" w:hAnsi="Times New Roman"/>
                <w:sz w:val="15"/>
                <w:szCs w:val="15"/>
                <w:color w:val="auto"/>
              </w:rPr>
              <w:t>Large accelerated filer</w:t>
            </w:r>
          </w:p>
        </w:tc>
        <w:tc>
          <w:tcPr>
            <w:tcW w:w="322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780"/>
              <w:spacing w:after="0" w:line="153" w:lineRule="exact"/>
              <w:rPr>
                <w:sz w:val="20"/>
                <w:szCs w:val="20"/>
                <w:color w:val="auto"/>
              </w:rPr>
            </w:pPr>
            <w:r>
              <w:rPr>
                <w:rFonts w:ascii="Times New Roman" w:cs="Times New Roman" w:eastAsia="Times New Roman" w:hAnsi="Times New Roman"/>
                <w:sz w:val="15"/>
                <w:szCs w:val="15"/>
                <w:color w:val="auto"/>
              </w:rPr>
              <w:t>Accelerated filer</w:t>
            </w:r>
          </w:p>
        </w:tc>
        <w:tc>
          <w:tcPr>
            <w:tcW w:w="360" w:type="dxa"/>
            <w:vAlign w:val="bottom"/>
          </w:tcPr>
          <w:p>
            <w:pPr>
              <w:ind w:left="2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22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7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60" w:type="dxa"/>
            <w:vAlign w:val="bottom"/>
          </w:tcPr>
          <w:p>
            <w:pPr>
              <w:ind w:left="2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6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2780"/>
              <w:spacing w:after="0"/>
              <w:rPr>
                <w:sz w:val="20"/>
                <w:szCs w:val="20"/>
                <w:color w:val="auto"/>
              </w:rPr>
            </w:pPr>
            <w:r>
              <w:rPr>
                <w:rFonts w:ascii="Times New Roman" w:cs="Times New Roman" w:eastAsia="Times New Roman" w:hAnsi="Times New Roman"/>
                <w:sz w:val="15"/>
                <w:szCs w:val="15"/>
                <w:color w:val="auto"/>
              </w:rPr>
              <w:t>Emerging growth company</w:t>
            </w:r>
          </w:p>
        </w:tc>
        <w:tc>
          <w:tcPr>
            <w:tcW w:w="360" w:type="dxa"/>
            <w:vAlign w:val="bottom"/>
          </w:tcPr>
          <w:p>
            <w:pPr>
              <w:ind w:left="2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 w:lineRule="exact"/>
        <w:rPr>
          <w:sz w:val="24"/>
          <w:szCs w:val="24"/>
          <w:color w:val="auto"/>
        </w:rPr>
      </w:pPr>
    </w:p>
    <w:p>
      <w:pPr>
        <w:ind w:right="80" w:firstLine="441"/>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4" w:lineRule="exact"/>
        <w:rPr>
          <w:sz w:val="24"/>
          <w:szCs w:val="24"/>
          <w:color w:val="auto"/>
        </w:rPr>
      </w:pPr>
    </w:p>
    <w:p>
      <w:pPr>
        <w:ind w:right="100" w:firstLine="441"/>
        <w:spacing w:after="0" w:line="239"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-353695</wp:posOffset>
            </wp:positionH>
            <wp:positionV relativeFrom="paragraph">
              <wp:posOffset>601980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134620</wp:posOffset>
            </wp:positionV>
            <wp:extent cx="6343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151765</wp:posOffset>
            </wp:positionV>
            <wp:extent cx="6343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ectPr>
          <w:pgSz w:w="11900" w:h="16838" w:orient="portrait"/>
          <w:cols w:equalWidth="0" w:num="1">
            <w:col w:w="9940"/>
          </w:cols>
          <w:pgMar w:left="960" w:top="830" w:right="999" w:bottom="1440" w:gutter="0" w:footer="0" w:header="0"/>
        </w:sectPr>
      </w:pPr>
    </w:p>
    <w:bookmarkStart w:id="1" w:name="page2"/>
    <w:bookmarkEnd w:id="1"/>
    <w:p>
      <w:pPr>
        <w:ind w:left="660" w:right="820"/>
        <w:spacing w:after="0" w:line="250" w:lineRule="auto"/>
        <w:rPr>
          <w:sz w:val="20"/>
          <w:szCs w:val="20"/>
          <w:color w:val="auto"/>
        </w:rPr>
      </w:pPr>
      <w:r>
        <w:rPr>
          <w:rFonts w:ascii="Times New Roman" w:cs="Times New Roman" w:eastAsia="Times New Roman" w:hAnsi="Times New Roman"/>
          <w:sz w:val="20"/>
          <w:szCs w:val="20"/>
          <w:b w:val="1"/>
          <w:bCs w:val="1"/>
          <w:color w:val="FF0000"/>
        </w:rPr>
        <w:t>The information in this preliminary prospectus is not complete and may be changed. We may not sell these securities until the Securities and Exchange Commission declares our registration statement effective. This preliminary prospectus is not an offer to sell these securities and is not soliciting an offer to buy these securities in any jurisdiction where the offer or sale is not permitted.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FF0000"/>
        </w:rPr>
        <w:t>Subject to completion, dated September 22, 2025</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PRELIMINARY PROSPECTUS</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i w:val="1"/>
          <w:i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166370</wp:posOffset>
            </wp:positionV>
            <wp:extent cx="226314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1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32"/>
          <w:szCs w:val="32"/>
          <w:b w:val="1"/>
          <w:bCs w:val="1"/>
          <w:i w:val="1"/>
          <w:iCs w:val="1"/>
          <w:color w:val="auto"/>
        </w:rPr>
        <w:t>Common Stock</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are offering 10,000,000 shares of our common stock.</w:t>
      </w:r>
    </w:p>
    <w:p>
      <w:pPr>
        <w:spacing w:after="0" w:line="225" w:lineRule="exact"/>
        <w:rPr>
          <w:sz w:val="20"/>
          <w:szCs w:val="20"/>
          <w:color w:val="auto"/>
        </w:rPr>
      </w:pPr>
    </w:p>
    <w:p>
      <w:pPr>
        <w:ind w:left="660" w:right="680" w:firstLine="441"/>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or Nasdaq, under the symbol “MBX”. On September 19, 2025, the last reported sale price of our common stock on Nasdaq was $10.00 per share.</w:t>
      </w:r>
    </w:p>
    <w:p>
      <w:pPr>
        <w:spacing w:after="0" w:line="162" w:lineRule="exact"/>
        <w:rPr>
          <w:sz w:val="20"/>
          <w:szCs w:val="20"/>
          <w:color w:val="auto"/>
        </w:rPr>
      </w:pPr>
    </w:p>
    <w:p>
      <w:pPr>
        <w:ind w:left="660" w:right="900" w:firstLine="441"/>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the federal securities laws and, as such, we have elected to comply with certain reduced public company reporting requirements for this prospectus and for future filings.</w:t>
      </w:r>
    </w:p>
    <w:p>
      <w:pPr>
        <w:spacing w:after="0" w:line="158" w:lineRule="exact"/>
        <w:rPr>
          <w:sz w:val="20"/>
          <w:szCs w:val="20"/>
          <w:color w:val="auto"/>
        </w:rPr>
      </w:pPr>
    </w:p>
    <w:p>
      <w:pPr>
        <w:ind w:left="660" w:right="7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buying any shares, you should read carefully the discussion of the material risks of investing in our common stock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starting on page 11 of this prospectus and the documents incorporated by reference herein.</w:t>
      </w:r>
    </w:p>
    <w:p>
      <w:pPr>
        <w:spacing w:after="0" w:line="171" w:lineRule="exact"/>
        <w:rPr>
          <w:sz w:val="20"/>
          <w:szCs w:val="20"/>
          <w:color w:val="auto"/>
        </w:rPr>
      </w:pPr>
    </w:p>
    <w:p>
      <w:pPr>
        <w:ind w:left="660" w:right="80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2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52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4"/>
                <w:szCs w:val="24"/>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before expenses, to MBX Biosciences, Inc.</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-410845</wp:posOffset>
            </wp:positionV>
            <wp:extent cx="617220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92"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14"/>
          <w:szCs w:val="14"/>
          <w:color w:val="auto"/>
        </w:rPr>
        <w:t>(1)</w:t>
        <w:tab/>
        <w:t>See “Underwriting” beginning on page 30 of this prospectus for additional information regarding underwriting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-95885</wp:posOffset>
            </wp:positionV>
            <wp:extent cx="822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8" w:lineRule="exact"/>
        <w:rPr>
          <w:sz w:val="20"/>
          <w:szCs w:val="20"/>
          <w:color w:val="auto"/>
        </w:rPr>
      </w:pPr>
    </w:p>
    <w:p>
      <w:pPr>
        <w:ind w:left="660" w:right="840" w:firstLine="441"/>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an additional 1,500,000 shares of our common stock from us at the public offering price, less underwriting discounts and commissions.</w:t>
      </w:r>
    </w:p>
    <w:p>
      <w:pPr>
        <w:spacing w:after="0" w:line="162"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137160</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3500" w:type="dxa"/>
            <w:vAlign w:val="bottom"/>
            <w:gridSpan w:val="2"/>
          </w:tcPr>
          <w:p>
            <w:pPr>
              <w:jc w:val="right"/>
              <w:ind w:right="332"/>
              <w:spacing w:after="0"/>
              <w:rPr>
                <w:sz w:val="20"/>
                <w:szCs w:val="20"/>
                <w:color w:val="auto"/>
              </w:rPr>
            </w:pPr>
            <w:r>
              <w:rPr>
                <w:rFonts w:ascii="Times New Roman" w:cs="Times New Roman" w:eastAsia="Times New Roman" w:hAnsi="Times New Roman"/>
                <w:sz w:val="29"/>
                <w:szCs w:val="29"/>
                <w:b w:val="1"/>
                <w:bCs w:val="1"/>
                <w:color w:val="auto"/>
              </w:rPr>
              <w:t>J.P. Morgan</w:t>
            </w:r>
          </w:p>
        </w:tc>
        <w:tc>
          <w:tcPr>
            <w:tcW w:w="1360" w:type="dxa"/>
            <w:vAlign w:val="bottom"/>
          </w:tcPr>
          <w:p>
            <w:pPr>
              <w:ind w:left="60"/>
              <w:spacing w:after="0"/>
              <w:rPr>
                <w:sz w:val="20"/>
                <w:szCs w:val="20"/>
                <w:color w:val="auto"/>
              </w:rPr>
            </w:pPr>
            <w:r>
              <w:rPr>
                <w:rFonts w:ascii="Times New Roman" w:cs="Times New Roman" w:eastAsia="Times New Roman" w:hAnsi="Times New Roman"/>
                <w:sz w:val="29"/>
                <w:szCs w:val="29"/>
                <w:b w:val="1"/>
                <w:bCs w:val="1"/>
                <w:color w:val="auto"/>
              </w:rPr>
              <w:t>Jefferies</w:t>
            </w:r>
          </w:p>
        </w:tc>
        <w:tc>
          <w:tcPr>
            <w:tcW w:w="6180" w:type="dxa"/>
            <w:vAlign w:val="bottom"/>
          </w:tcPr>
          <w:p>
            <w:pPr>
              <w:ind w:left="280"/>
              <w:spacing w:after="0"/>
              <w:rPr>
                <w:sz w:val="20"/>
                <w:szCs w:val="20"/>
                <w:color w:val="auto"/>
              </w:rPr>
            </w:pPr>
            <w:r>
              <w:rPr>
                <w:rFonts w:ascii="Times New Roman" w:cs="Times New Roman" w:eastAsia="Times New Roman" w:hAnsi="Times New Roman"/>
                <w:sz w:val="29"/>
                <w:szCs w:val="29"/>
                <w:b w:val="1"/>
                <w:bCs w:val="1"/>
                <w:color w:val="auto"/>
              </w:rPr>
              <w:t>TD Cowen  Guggenheim Securities</w:t>
            </w:r>
          </w:p>
        </w:tc>
      </w:tr>
      <w:tr>
        <w:trPr>
          <w:trHeight w:val="650"/>
        </w:trPr>
        <w:tc>
          <w:tcPr>
            <w:tcW w:w="2580" w:type="dxa"/>
            <w:vAlign w:val="bottom"/>
          </w:tcPr>
          <w:p>
            <w:pPr>
              <w:spacing w:after="0"/>
              <w:rPr>
                <w:sz w:val="24"/>
                <w:szCs w:val="24"/>
                <w:color w:val="auto"/>
              </w:rPr>
            </w:pPr>
          </w:p>
        </w:tc>
        <w:tc>
          <w:tcPr>
            <w:tcW w:w="8460" w:type="dxa"/>
            <w:vAlign w:val="bottom"/>
            <w:gridSpan w:val="3"/>
          </w:tcPr>
          <w:p>
            <w:pPr>
              <w:ind w:left="280"/>
              <w:spacing w:after="0"/>
              <w:rPr>
                <w:sz w:val="20"/>
                <w:szCs w:val="20"/>
                <w:color w:val="auto"/>
              </w:rPr>
            </w:pPr>
            <w:r>
              <w:rPr>
                <w:rFonts w:ascii="Times New Roman" w:cs="Times New Roman" w:eastAsia="Times New Roman" w:hAnsi="Times New Roman"/>
                <w:sz w:val="25"/>
                <w:szCs w:val="25"/>
                <w:b w:val="1"/>
                <w:bCs w:val="1"/>
                <w:color w:val="auto"/>
              </w:rPr>
              <w:t>Citizens Capital Markets   Oppenheimer &amp; Co.</w:t>
            </w:r>
          </w:p>
        </w:tc>
      </w:tr>
      <w:tr>
        <w:trPr>
          <w:trHeight w:val="423"/>
        </w:trPr>
        <w:tc>
          <w:tcPr>
            <w:tcW w:w="25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Prospectus dated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2025.</w:t>
            </w:r>
          </w:p>
        </w:tc>
        <w:tc>
          <w:tcPr>
            <w:tcW w:w="136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06" w:right="4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1800" w:type="dxa"/>
            <w:vAlign w:val="bottom"/>
            <w:gridSpan w:val="5"/>
            <w:vMerge w:val="restart"/>
          </w:tcPr>
          <w:p>
            <w:pPr>
              <w:spacing w:after="0"/>
              <w:rPr>
                <w:sz w:val="15"/>
                <w:szCs w:val="15"/>
                <w:color w:val="auto"/>
              </w:rPr>
            </w:pPr>
          </w:p>
        </w:tc>
        <w:tc>
          <w:tcPr>
            <w:tcW w:w="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MATERIAL U.S. FEDERAL INCOME TAX</w:t>
            </w:r>
          </w:p>
        </w:tc>
        <w:tc>
          <w:tcPr>
            <w:tcW w:w="520" w:type="dxa"/>
            <w:vAlign w:val="bottom"/>
            <w:gridSpan w:val="3"/>
            <w:vMerge w:val="restart"/>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FF"/>
            </w:tcBorders>
            <w:gridSpan w:val="6"/>
            <w:vMerge w:val="continue"/>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4"/>
                <w:szCs w:val="14"/>
                <w:color w:val="auto"/>
              </w:rPr>
            </w:pPr>
          </w:p>
        </w:tc>
        <w:tc>
          <w:tcPr>
            <w:tcW w:w="3360" w:type="dxa"/>
            <w:vAlign w:val="bottom"/>
            <w:tcBorders>
              <w:bottom w:val="single" w:sz="8" w:color="0000FF"/>
            </w:tcBorders>
            <w:gridSpan w:val="5"/>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w w:val="88"/>
              </w:rPr>
              <w:t>11</w:t>
            </w:r>
          </w:p>
        </w:tc>
        <w:tc>
          <w:tcPr>
            <w:tcW w:w="3880" w:type="dxa"/>
            <w:vAlign w:val="bottom"/>
            <w:gridSpan w:val="8"/>
          </w:tcPr>
          <w:p>
            <w:pPr>
              <w:ind w:left="220"/>
              <w:spacing w:after="0" w:line="196" w:lineRule="exact"/>
              <w:rPr>
                <w:sz w:val="20"/>
                <w:szCs w:val="20"/>
                <w:color w:val="auto"/>
              </w:rPr>
            </w:pPr>
            <w:r>
              <w:rPr>
                <w:rFonts w:ascii="Times New Roman" w:cs="Times New Roman" w:eastAsia="Times New Roman" w:hAnsi="Times New Roman"/>
                <w:sz w:val="18"/>
                <w:szCs w:val="18"/>
                <w:color w:val="0000FF"/>
              </w:rPr>
              <w:t>CONSEQUENCES TO NON-U.S. HOLDERS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SPECIAL NOTE REGARDING FORWARD-</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UNDERWRITING</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LOOKING STATEMENTS</w:t>
            </w:r>
          </w:p>
        </w:tc>
        <w:tc>
          <w:tcPr>
            <w:tcW w:w="1100" w:type="dxa"/>
            <w:vAlign w:val="bottom"/>
            <w:gridSpan w:val="3"/>
          </w:tcPr>
          <w:p>
            <w:pPr>
              <w:spacing w:after="0"/>
              <w:rPr>
                <w:sz w:val="17"/>
                <w:szCs w:val="17"/>
                <w:color w:val="auto"/>
              </w:rPr>
            </w:pPr>
          </w:p>
        </w:tc>
        <w:tc>
          <w:tcPr>
            <w:tcW w:w="1040" w:type="dxa"/>
            <w:vAlign w:val="bottom"/>
            <w:gridSpan w:val="2"/>
          </w:tcPr>
          <w:p>
            <w:pPr>
              <w:spacing w:after="0"/>
              <w:rPr>
                <w:sz w:val="17"/>
                <w:szCs w:val="17"/>
                <w:color w:val="auto"/>
              </w:rPr>
            </w:pPr>
          </w:p>
        </w:tc>
        <w:tc>
          <w:tcPr>
            <w:tcW w:w="76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w w:val="88"/>
              </w:rPr>
              <w:t>13</w:t>
            </w:r>
          </w:p>
        </w:tc>
        <w:tc>
          <w:tcPr>
            <w:tcW w:w="15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23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USE OF PROCEEDS</w:t>
            </w:r>
          </w:p>
        </w:tc>
        <w:tc>
          <w:tcPr>
            <w:tcW w:w="2800" w:type="dxa"/>
            <w:vAlign w:val="bottom"/>
            <w:gridSpan w:val="7"/>
          </w:tcPr>
          <w:p>
            <w:pPr>
              <w:spacing w:after="0"/>
              <w:rPr>
                <w:sz w:val="17"/>
                <w:szCs w:val="17"/>
                <w:color w:val="auto"/>
              </w:rPr>
            </w:pPr>
          </w:p>
        </w:tc>
        <w:tc>
          <w:tcPr>
            <w:tcW w:w="76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w w:val="88"/>
              </w:rPr>
              <w:t>15</w:t>
            </w:r>
          </w:p>
        </w:tc>
        <w:tc>
          <w:tcPr>
            <w:tcW w:w="3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2800" w:type="dxa"/>
            <w:vAlign w:val="bottom"/>
            <w:gridSpan w:val="7"/>
          </w:tcPr>
          <w:p>
            <w:pPr>
              <w:spacing w:after="0"/>
              <w:rPr>
                <w:sz w:val="17"/>
                <w:szCs w:val="17"/>
                <w:color w:val="auto"/>
              </w:rPr>
            </w:pPr>
          </w:p>
        </w:tc>
        <w:tc>
          <w:tcPr>
            <w:tcW w:w="76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w w:val="88"/>
              </w:rPr>
              <w:t>16</w:t>
            </w:r>
          </w:p>
        </w:tc>
        <w:tc>
          <w:tcPr>
            <w:tcW w:w="38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2900" w:type="dxa"/>
            <w:vAlign w:val="bottom"/>
            <w:gridSpan w:val="8"/>
          </w:tcPr>
          <w:p>
            <w:pPr>
              <w:spacing w:after="0"/>
              <w:rPr>
                <w:sz w:val="17"/>
                <w:szCs w:val="17"/>
                <w:color w:val="auto"/>
              </w:rPr>
            </w:pPr>
          </w:p>
        </w:tc>
        <w:tc>
          <w:tcPr>
            <w:tcW w:w="76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w w:val="88"/>
              </w:rPr>
              <w:t>17</w:t>
            </w:r>
          </w:p>
        </w:tc>
        <w:tc>
          <w:tcPr>
            <w:tcW w:w="38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INCORPORATION OF CERTAIN INFORMATION</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DILUTION</w:t>
            </w:r>
          </w:p>
        </w:tc>
        <w:tc>
          <w:tcPr>
            <w:tcW w:w="76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w w:val="88"/>
              </w:rPr>
              <w:t>18</w:t>
            </w:r>
          </w:p>
        </w:tc>
        <w:tc>
          <w:tcPr>
            <w:tcW w:w="3880" w:type="dxa"/>
            <w:vAlign w:val="bottom"/>
            <w:gridSpan w:val="8"/>
          </w:tcPr>
          <w:p>
            <w:pPr>
              <w:ind w:left="220"/>
              <w:spacing w:after="0" w:line="196" w:lineRule="exact"/>
              <w:rPr>
                <w:sz w:val="20"/>
                <w:szCs w:val="20"/>
                <w:color w:val="auto"/>
              </w:rPr>
            </w:pPr>
            <w:r>
              <w:rPr>
                <w:rFonts w:ascii="Times New Roman" w:cs="Times New Roman" w:eastAsia="Times New Roman" w:hAnsi="Times New Roman"/>
                <w:sz w:val="18"/>
                <w:szCs w:val="18"/>
                <w:color w:val="0000FF"/>
              </w:rPr>
              <w:t>BY REFERENCE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STOCKHOLDERS</w:t>
            </w:r>
          </w:p>
        </w:tc>
        <w:tc>
          <w:tcPr>
            <w:tcW w:w="2000" w:type="dxa"/>
            <w:vAlign w:val="bottom"/>
            <w:gridSpan w:val="4"/>
          </w:tcPr>
          <w:p>
            <w:pPr>
              <w:spacing w:after="0"/>
              <w:rPr>
                <w:sz w:val="17"/>
                <w:szCs w:val="17"/>
                <w:color w:val="auto"/>
              </w:rPr>
            </w:pPr>
          </w:p>
        </w:tc>
        <w:tc>
          <w:tcPr>
            <w:tcW w:w="76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w w:val="88"/>
              </w:rPr>
              <w:t>20</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DESCRIPTION OF CAPITAL STOCK</w:t>
            </w:r>
          </w:p>
        </w:tc>
        <w:tc>
          <w:tcPr>
            <w:tcW w:w="76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w w:val="88"/>
              </w:rPr>
              <w:t>23</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We incorporate by reference important information into this prospectus. You may obtain the information incorporated by reference without charge by following the instructions under "Where You Can Find More Information." You should carefully read this prospectus as well as additional information described under "Incorporation of Certain Information by Reference," before deciding to invest in our common stock.</w:t>
      </w:r>
    </w:p>
    <w:p>
      <w:pPr>
        <w:spacing w:after="0" w:line="72"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or to make any representation other than those contained in this prospectus, any amendment or supplement to this prospectus or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any amendment or supplement to this prospectus or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92"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83"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entitled “Risk factors” and elsewhere in this prospectus. Some data are also based on our good faith estimates.</w:t>
      </w:r>
    </w:p>
    <w:p>
      <w:pPr>
        <w:spacing w:after="0" w:line="188"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We intend to apply for various trademarks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18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Unless the context suggests otherwise, all references in this prospectus to “us,” “our,” “MBX,” “we,” the “Company” and similar designations refer to MBX Biosciences,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8756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50330" cy="8756650"/>
                    </a:xfrm>
                    <a:prstGeom prst="rect">
                      <a:avLst/>
                    </a:prstGeom>
                    <a:noFill/>
                  </pic:spPr>
                </pic:pic>
              </a:graphicData>
            </a:graphic>
          </wp:anchor>
        </w:drawing>
        <w:t>PROSPECTUS SUMMARY</w:t>
      </w:r>
    </w:p>
    <w:p>
      <w:pPr>
        <w:spacing w:after="0" w:line="227"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greater detail elsewhere in this prospectus and does not contain all of the information that you should consider in making your investment decision. Before investing in our common stock, you should carefully read this entire prospectus, including the information presented under the headings “Risk factors,” “Special note regarding forward-looking statements” and “Management’s discussion and analysis of financial condition and results of operations” and the financial statements and related notes each included in our Annual Report on Form 10-K for the year ended December 31, 2024 and our Quarterly Reports on Form 10-Q for the fiscal quarters ended March 31, 2025 and June 30, 2025, each incorporated by reference herein.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441"/>
        <w:spacing w:after="0" w:line="24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and development of novel precision peptide therapies for the treatment of endocrine and metabolic disorders. Our company was founded by global leaders with a transformative approach to peptide drug design and development. Leveraging this expertise, we designed our proprietary Precision Endocrine Peptide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PEP</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platform to overcome the key limitations of unmodified and modified peptide therapies and to improve clinical outcomes and simplify disease management for patients. Our PEPs are selectively engineered to have optimized pharmaceutical properties, including extended time-action profiles and consistent drug concentrations with low peak-to-trough concentration ratios, consistent exposure to target tissues, and less frequent dosing. We are advancing a pipeline of novel candidates for endocrine and metabolic disorders with clinically validated targets, established endpoints for regulatory approval, significant unmet medical needs and large potential market opportunities. Our product candidates and programs include:</w:t>
      </w:r>
    </w:p>
    <w:p>
      <w:pPr>
        <w:spacing w:after="0" w:line="81" w:lineRule="exact"/>
        <w:rPr>
          <w:sz w:val="20"/>
          <w:szCs w:val="20"/>
          <w:color w:val="auto"/>
        </w:rPr>
      </w:pPr>
    </w:p>
    <w:p>
      <w:pPr>
        <w:ind w:left="820" w:hanging="385"/>
        <w:spacing w:after="0" w:line="254"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Canvuparatide: </w:t>
      </w:r>
      <w:r>
        <w:rPr>
          <w:rFonts w:ascii="Times New Roman" w:cs="Times New Roman" w:eastAsia="Times New Roman" w:hAnsi="Times New Roman"/>
          <w:sz w:val="18"/>
          <w:szCs w:val="18"/>
          <w:color w:val="auto"/>
        </w:rPr>
        <w:t>Our lead product candidate, canvuparatide (MBX 2109), is a parathyroid hormone, or PTH, peptide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prodrug that is designed as a potential long-acting hormone replacement therapy for the treatment of chronic hypoparathyroidism, or HP. Leveraging our proprietary PEP platform, we designed canvuparatide to treat the underlying pathophysiology of HP by providing a continuous, infusion-like exposure to parathyroid hormone with convenient once-weekly administration. In a Phase 1 clinical trial, canvuparatide demonstrated a low ratio between the highest concentration of active drug observed after a dose and the concentration of active drug observed immediately prior to the next dose, or peak-to-trough ratio, which is consistent with a continuous, infusion-like profile, and an extended half-life, potentially enabling the first once-weekly PTH dosing regimen for patients with HP. Canvuparatide was generally well-tolerated with no drug-related severe or serious adverse effects. We are currently evaluating canvuparatide in a Phase 2 clinical trial in 64 patients with HP. In March 2025, we announced completion of enrollment, and we reported topline data in September 2025.</w:t>
      </w:r>
    </w:p>
    <w:p>
      <w:pPr>
        <w:spacing w:after="0" w:line="74" w:lineRule="exact"/>
        <w:rPr>
          <w:rFonts w:ascii="Times New Roman" w:cs="Times New Roman" w:eastAsia="Times New Roman" w:hAnsi="Times New Roman"/>
          <w:sz w:val="18"/>
          <w:szCs w:val="18"/>
          <w:color w:val="auto"/>
        </w:rPr>
      </w:pPr>
    </w:p>
    <w:p>
      <w:pPr>
        <w:ind w:left="820" w:right="20" w:hanging="385"/>
        <w:spacing w:after="0" w:line="248"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Imapextide: </w:t>
      </w:r>
      <w:r>
        <w:rPr>
          <w:rFonts w:ascii="Times New Roman" w:cs="Times New Roman" w:eastAsia="Times New Roman" w:hAnsi="Times New Roman"/>
          <w:sz w:val="18"/>
          <w:szCs w:val="18"/>
          <w:color w:val="auto"/>
        </w:rPr>
        <w:t>We are advancing imapextide (MBX 1416), which is designed to be a long-acting glucagon-like peptide 1,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GLP-1, receptor antagonist, as a potential therapy for post-bariatric hypoglycemia, or PBH, a chronic complication of bariatric surgery. Imapextide is designed as a convenient once-weekly therapy to reduce insulin secretion and increase blood glucose to reduce the frequency and severity of hypoglycemic events. Results from the Phase 1 clinical trial demonstrated dose-proportional increases in imapextide exposure, a median half-life of 90 hours, which is supportive of a once-weekly dosing regimen, and, at steady state, the median T</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xml:space="preserve"> was between 36 and 48 hours. Imapextide was generally well-tolerated with a favorable safety profile and no treatment-related serious adverse events. We completed an End-of-Phase 1 meeting with the FDA, and a Phase 2a clinical trial evaluating imapextide in patients with PBH is anticipated to initiate in the third quarter of 2025.</w:t>
      </w:r>
    </w:p>
    <w:p>
      <w:pPr>
        <w:spacing w:after="0" w:line="82" w:lineRule="exact"/>
        <w:rPr>
          <w:rFonts w:ascii="Times New Roman" w:cs="Times New Roman" w:eastAsia="Times New Roman" w:hAnsi="Times New Roman"/>
          <w:sz w:val="18"/>
          <w:szCs w:val="18"/>
          <w:color w:val="auto"/>
        </w:rPr>
      </w:pPr>
    </w:p>
    <w:p>
      <w:pPr>
        <w:ind w:left="820" w:hanging="385"/>
        <w:spacing w:after="0" w:line="253"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Obesity portfolio: </w:t>
      </w:r>
      <w:r>
        <w:rPr>
          <w:rFonts w:ascii="Times New Roman" w:cs="Times New Roman" w:eastAsia="Times New Roman" w:hAnsi="Times New Roman"/>
          <w:sz w:val="18"/>
          <w:szCs w:val="18"/>
          <w:color w:val="auto"/>
        </w:rPr>
        <w:t>Our lead obesity product candidate, MBX 4291, is designed to be a long-acting and highly potent GLP-1 and glucose-dependent insulinotropic polypeptide, or GIP, receptor co-agonist prodrug with the goal of potential once monthly dosing frequency and improving efficacy and tolerability relative to existing standards of care. In our preclinical studies, the active component of MBX 4291 demonstrated a similar activity profile and body weight loss in mice as tirzepatide, an approved weekly GLP-1/GIP co-agonist, and an extended duration of action of the active component of MBX 4291 supporting the potential for once-monthly administration. During our preclinical studies, the concentration of the active component of MBX 4291 was significantly lower than the concentration of tirzepatide during the comparison period. Although we believe MBX 4291 has the potential to be dosed less frequently, less frequent dosing would require a higher dose of MBX 4291. The results observed from our preclinical studies may not necessarily be predictive of the results of later-stage clinical trials that we may conduct. In addition, the study supporting potential duration of MBX 4291 was conducted separately from studies evaluating its effects. On June 16, 2025, we announced the investigational new drug, or IND, application submission to the FDA for MBX 4291, and in July 2025, we received clearance to proceed with a Phase 1 clinical trial of MBX 4291, which was initiated in September 2025. In September 2025, we announced the first dose of the first participant in this Phase 1 trial, and topline results are anticipated in 2027. Beyond MBX 4291, we have a robust discovery pipeline including multiple programs in the lead optimization stage of development.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424815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sectPr>
      </w:pPr>
    </w:p>
    <w:bookmarkStart w:id="4" w:name="page5"/>
    <w:bookmarkEnd w:id="4"/>
    <w:p>
      <w:pPr>
        <w:ind w:firstLine="44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7907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50330" cy="7907655"/>
                    </a:xfrm>
                    <a:prstGeom prst="rect">
                      <a:avLst/>
                    </a:prstGeom>
                    <a:noFill/>
                  </pic:spPr>
                </pic:pic>
              </a:graphicData>
            </a:graphic>
          </wp:anchor>
        </w:drawing>
        <w:t>Endocrine organs secrete peptide hormones into the blood stream that act on distant organs to calibrate their function and maintain homeostasis, which impact metabolism, growth, reproduction and other bodily functions. Underproduction of a hormone, known as a hormonal deficiency, can lead to endocrine diseases, such as diabetes and HP. In addition to using peptides as hormone replacement therapies, peptide-based drugs have been developed as pharmacologic agents to treat endocrine and other diseases. However, whether as replacement therapies or novel pharmacological actions, these therapeutic peptides often have significant drawbacks. Unmodified peptides often have short half-lives and are rapidly degraded by enzymes and swiftly cleared within minutes to hours by the liver and kidney. This often necessitates frequent daily injections of these peptides, which can result in wide fluctuations of the peptide concentration in the bloodstream leading to diminished effectiveness of the therapy or side effects caused by high levels of the peptide.</w:t>
      </w:r>
    </w:p>
    <w:p>
      <w:pPr>
        <w:spacing w:after="0" w:line="188"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Modified peptide therapies have been developed to allow less frequent once-daily and once-weekly dosing regimens. Although these convenient, patient-friendly therapies could increase compliance and result in improved effectiveness in the real-world setting, they can still produce significant fluctuations in peptide blood levels or high peak-to-trough ratios, which can lead to side effects and limit potential efficacy. Therefore, there remains a significant unmet need to develop modified peptide therapies with extended time-action profiles and low peak-to-trough ratios that allow for less frequent injections and have the potential to provide improved efficacy, tolerability and convenience. Leveraging the proprietary technologies in our PEP platform, we are designing and developing novel peptide therapeutics with the goal of achieving four key, distinct attributes: 1) high potency, 2) high target selectivity, 3) half-lives that allow a dosing at weekly or less frequent intervals, and 4) low or flat peak-to-trough ratios to improve tolerability, thereby facilitating higher dosing and greater potential efficacy.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jc w:val="both"/>
        <w:ind w:right="20" w:firstLine="441"/>
        <w:spacing w:after="0" w:line="257" w:lineRule="auto"/>
        <w:rPr>
          <w:sz w:val="20"/>
          <w:szCs w:val="20"/>
          <w:color w:val="auto"/>
        </w:rPr>
      </w:pPr>
      <w:r>
        <w:rPr>
          <w:rFonts w:ascii="Times New Roman" w:cs="Times New Roman" w:eastAsia="Times New Roman" w:hAnsi="Times New Roman"/>
          <w:sz w:val="18"/>
          <w:szCs w:val="18"/>
          <w:color w:val="auto"/>
        </w:rPr>
        <w:t>We have built our proprietary PEP platform to develop innovative precision peptide therapies that are designed to overcome key limitations of current peptide therapies. We were founded by leaders in the field of peptide discovery and development with the goal of transforming the treatment landscape for endocrine and metabolic diseases with novel, efficacious, safe and convenient treatments.</w:t>
      </w:r>
    </w:p>
    <w:p>
      <w:pPr>
        <w:spacing w:after="0" w:line="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Our PEP platform builds upon the expertise and chemical technologies originally discovered at the Indiana University laboratory of our scientific co-founder, Dr. Richard DiMarchi, who is globally recognized for translational breakthroughs in endocrine pharmacology, including the discovery of the first GLP-1/GIP co-agonist as well as other dual and triple incretin agonists. Our state-of-the-art, proprietary PEP platform has enabled us to engineer novel product candidates that are designed to have optimized pharmaceutical properties, including a longer duration of action, consistent drug concentrations with low peak-to-trough ratios, and less frequent dosing, which support our goals of improved tolerability, efficacy and potency. We collaborate with Dr. DiMarchi and the Indiana University laboratory for discovery capabilities. We also have our own internal discovery and development capabilities which include an experienced cross-functional discovery team and a peptide synthesis laboratory. We have developed a proprietary platform of tools that we believe will allow us to continually design transformative therapies. These proprietary tools and know-how include:</w:t>
      </w:r>
    </w:p>
    <w:p>
      <w:pPr>
        <w:spacing w:after="0" w:line="81" w:lineRule="exact"/>
        <w:rPr>
          <w:sz w:val="20"/>
          <w:szCs w:val="20"/>
          <w:color w:val="auto"/>
        </w:rPr>
      </w:pPr>
    </w:p>
    <w:p>
      <w:pPr>
        <w:ind w:left="820" w:right="160" w:hanging="385"/>
        <w:spacing w:after="0" w:line="286"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Advanced chemical modifications </w:t>
      </w:r>
      <w:r>
        <w:rPr>
          <w:rFonts w:ascii="Times New Roman" w:cs="Times New Roman" w:eastAsia="Times New Roman" w:hAnsi="Times New Roman"/>
          <w:sz w:val="18"/>
          <w:szCs w:val="18"/>
          <w:color w:val="auto"/>
        </w:rPr>
        <w:t>with a goal to provide enhanced physical properties including stability and solubility,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potency, and multiple mechanisms of action in a single peptide</w:t>
      </w:r>
    </w:p>
    <w:p>
      <w:pPr>
        <w:spacing w:after="0" w:line="46" w:lineRule="exact"/>
        <w:rPr>
          <w:rFonts w:ascii="Times New Roman" w:cs="Times New Roman" w:eastAsia="Times New Roman" w:hAnsi="Times New Roman"/>
          <w:sz w:val="18"/>
          <w:szCs w:val="18"/>
          <w:color w:val="auto"/>
        </w:rPr>
      </w:pPr>
    </w:p>
    <w:p>
      <w:pPr>
        <w:ind w:left="820" w:right="180" w:hanging="385"/>
        <w:spacing w:after="0" w:line="286"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Programmable prodrug technologies </w:t>
      </w:r>
      <w:r>
        <w:rPr>
          <w:rFonts w:ascii="Times New Roman" w:cs="Times New Roman" w:eastAsia="Times New Roman" w:hAnsi="Times New Roman"/>
          <w:sz w:val="18"/>
          <w:szCs w:val="18"/>
          <w:color w:val="auto"/>
        </w:rPr>
        <w:t>that are designed to precisely time the chemical conversion of the prodrug into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form to reduce peak-to-trough ratios and improve clinical outcomes</w:t>
      </w:r>
    </w:p>
    <w:p>
      <w:pPr>
        <w:spacing w:after="0" w:line="46" w:lineRule="exact"/>
        <w:rPr>
          <w:rFonts w:ascii="Times New Roman" w:cs="Times New Roman" w:eastAsia="Times New Roman" w:hAnsi="Times New Roman"/>
          <w:sz w:val="18"/>
          <w:szCs w:val="18"/>
          <w:color w:val="auto"/>
        </w:rPr>
      </w:pPr>
    </w:p>
    <w:p>
      <w:pPr>
        <w:ind w:left="820" w:right="460" w:hanging="385"/>
        <w:spacing w:after="0" w:line="286"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Fatty acylation </w:t>
      </w:r>
      <w:r>
        <w:rPr>
          <w:rFonts w:ascii="Times New Roman" w:cs="Times New Roman" w:eastAsia="Times New Roman" w:hAnsi="Times New Roman"/>
          <w:sz w:val="18"/>
          <w:szCs w:val="18"/>
          <w:color w:val="auto"/>
        </w:rPr>
        <w:t>aims to increase duration of action for more convenient dosing regimens and compatibility with non-injectable formulations</w:t>
      </w:r>
    </w:p>
    <w:p>
      <w:pPr>
        <w:spacing w:after="0" w:line="159"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Our PEP platform is designed to improve clinical outcomes and simplify disease management for patients. Our PEPs are engineered to potentially optimize pharmaceutical properties yielding peptides with extended time-action profiles, convenient dosing regimens and the potential to enhance compliance and improve treatment effectiveness in a real-world setting. PEPs may improve efficacy and reduce adverse events by providing a more continuous, infusion-like exposure to the peptide. We believe that our PEP technology, along with our significant know-how in the synergistic application of these tools, provides the opportunity to discover novel, highly selective and efficacious peptides with extended time-action profiles and low peak-to-trough ratios that may improve on the shortcomings of existing peptide therapies.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424815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40"/>
          </w:cols>
          <w:pgMar w:left="1080" w:top="1431" w:right="1079" w:bottom="1440" w:gutter="0" w:footer="0" w:header="0"/>
        </w:sectPr>
      </w:pPr>
    </w:p>
    <w:bookmarkStart w:id="5" w:name="page6"/>
    <w:bookmarkEnd w:id="5"/>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9004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50330" cy="9004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We are building a leading biopharmaceutical company with a focus on endocrine and metabolic disorders. Our mission is to enable patients with these disorders to live fuller and healthier lives through the discovery and development of transformative precision peptide therapies. We are leveraging our propriety PEP platform to significantly improve clinical outcomes by discovering novel treatments that overcome key limitations of current peptide therapies. The key pillars of our business strategy to achieve this mission include:</w:t>
      </w:r>
    </w:p>
    <w:p>
      <w:pPr>
        <w:spacing w:after="0" w:line="71" w:lineRule="exact"/>
        <w:rPr>
          <w:sz w:val="20"/>
          <w:szCs w:val="20"/>
          <w:color w:val="auto"/>
        </w:rPr>
      </w:pPr>
    </w:p>
    <w:p>
      <w:pPr>
        <w:ind w:left="820" w:right="40" w:hanging="385"/>
        <w:spacing w:after="0" w:line="253"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canvuparatide, a potential PTH peptide prodrug therapy, through clinical development to improve outcomes for patients with HP. </w:t>
      </w:r>
      <w:r>
        <w:rPr>
          <w:rFonts w:ascii="Times New Roman" w:cs="Times New Roman" w:eastAsia="Times New Roman" w:hAnsi="Times New Roman"/>
          <w:sz w:val="18"/>
          <w:szCs w:val="18"/>
          <w:color w:val="auto"/>
        </w:rPr>
        <w:t>Canvuparatide leverages our PEP platform and is designed as a long-acting PTH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therapy for HP, a rare endocrine disorder that we estimate affects more than 250,000 people throughout the United States and Europe. Canvuparatide is precisely engineered to treat the underlying pathophysiology of HP by achieving a continuous, infusion-like exposure to PTH with a convenient once-weekly dosing regimen. We believe canvuparatide has the potential to transform the HP treatment paradigm by providing dependable control to normalize serum and urinary calcium levels and simplifying currently existing treatments through once-weekly dosing that could significantly improve patient outcomes and quality of life. In a Phase 1 clinical trial, canvuparatide demonstrated a low peak-to-trough ratio, which is consistent with a continuous, infusion-like profile, and an extended half-life, potentially enabling the first once-weekly PTH dosing regimen for patients with HP. Canvuparatide was generally well-tolerated with no drug-related severe or serious adverse effects. We are currently evaluating canvuparatide in a Phase 2 clinical trial in 64 patients with HP and announced completion of enrollment in this trial in March 2025. We reported topline data in September 2025.</w:t>
      </w:r>
    </w:p>
    <w:p>
      <w:pPr>
        <w:spacing w:after="0" w:line="79" w:lineRule="exact"/>
        <w:rPr>
          <w:rFonts w:ascii="Times New Roman" w:cs="Times New Roman" w:eastAsia="Times New Roman" w:hAnsi="Times New Roman"/>
          <w:sz w:val="18"/>
          <w:szCs w:val="18"/>
          <w:color w:val="auto"/>
        </w:rPr>
      </w:pPr>
    </w:p>
    <w:p>
      <w:pPr>
        <w:ind w:left="820" w:right="40" w:hanging="385"/>
        <w:spacing w:after="0" w:line="254"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imapextide, a long-acting GLP-1 receptor antagonist, through clinical development to potentially address the unmet medical need in patients with PBH. </w:t>
      </w:r>
      <w:r>
        <w:rPr>
          <w:rFonts w:ascii="Times New Roman" w:cs="Times New Roman" w:eastAsia="Times New Roman" w:hAnsi="Times New Roman"/>
          <w:sz w:val="18"/>
          <w:szCs w:val="18"/>
          <w:color w:val="auto"/>
        </w:rPr>
        <w:t>There are currently no FDA-approved therapies for patients who suffer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hypoglycemia after bariatric surgery. We estimate PBH affects more than 125,000 people in the United States, representing a large unmet medical need and significant commercial opportunity. We are developing imapextide to be a long-acting GLP-1 receptor antagonist, a clinically validated mechanism, which is designed to reduce the frequency and severity of hypoglycemic events. In a Phase 1 clinical trial, weekly subcutaneous injections resulted in dose-proportional increases in imapextide exposure and a half-life supporting a once-weekly dosing regimen. Imapextide was generally well-tolerated with a favorable safety profile and no treatment-related serious adverse events. We completed an End-of-Phase 1 meeting with U.S. Food and Drug Administration, or the FDA, and a Phase 2a clinical trial evaluating imapextide in patients with PBH is anticipated to initiate in the third quarter of 2025.</w:t>
      </w:r>
    </w:p>
    <w:p>
      <w:pPr>
        <w:spacing w:after="0" w:line="77" w:lineRule="exact"/>
        <w:rPr>
          <w:rFonts w:ascii="Times New Roman" w:cs="Times New Roman" w:eastAsia="Times New Roman" w:hAnsi="Times New Roman"/>
          <w:sz w:val="18"/>
          <w:szCs w:val="18"/>
          <w:color w:val="auto"/>
        </w:rPr>
      </w:pPr>
    </w:p>
    <w:p>
      <w:pPr>
        <w:ind w:left="820" w:hanging="385"/>
        <w:spacing w:after="0" w:line="253"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obesity portfolio, including our lead obesity candidate, MBX 4291, with a focus on improving efficacy, tolerability and dosing frequency compared to existing GLP-1-based therapies. </w:t>
      </w:r>
      <w:r>
        <w:rPr>
          <w:rFonts w:ascii="Times New Roman" w:cs="Times New Roman" w:eastAsia="Times New Roman" w:hAnsi="Times New Roman"/>
          <w:sz w:val="18"/>
          <w:szCs w:val="18"/>
          <w:color w:val="auto"/>
        </w:rPr>
        <w:t>While there have been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advances in the treatment of obesity, there is a need for better tolerated, more convenient and efficacious treatment options. Our lead obesity product candidate, MBX 4291, is designed as a long-acting GLP-1/GIP receptor co-agonist prodrug. We also have a robust discovery pipeline with multiple development candidates in lead optimization. In our preclinical studies, the active component of MBX 4291 demonstrated a similar activity profile and body weight loss in mice as tirzepatide, an approved weekly GLP-1/GIP receptor co-agonist, and an extended duration of action of the active component of MBX 4291, supporting the potential for once-monthly administration. In addition to providing a less frequent and more convenient dosing regimen, the extended time-action profile and lower peak-to-trough ratio provide the opportunity to identify an optimal dosing regimen to improve tolerability and potentially increase the maximally attained weight loss, relative to existing, approved GLP-1-based therapies. On June 16, 2025, we announced the IND application submission to the FDA for MBX 4291, and, in July 2025, we received clearance to proceed with a Phase 1 clinical trial, which initiated in September 2025.</w:t>
      </w:r>
    </w:p>
    <w:p>
      <w:pPr>
        <w:spacing w:after="0" w:line="79" w:lineRule="exact"/>
        <w:rPr>
          <w:rFonts w:ascii="Times New Roman" w:cs="Times New Roman" w:eastAsia="Times New Roman" w:hAnsi="Times New Roman"/>
          <w:sz w:val="18"/>
          <w:szCs w:val="18"/>
          <w:color w:val="auto"/>
        </w:rPr>
      </w:pPr>
    </w:p>
    <w:p>
      <w:pPr>
        <w:ind w:left="820" w:right="20" w:hanging="385"/>
        <w:spacing w:after="0" w:line="25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proprietary PEP technology platform and the capabilities of our experienced discovery team to expand our pipeline in endocrine, metabolic and other disease areas. </w:t>
      </w:r>
      <w:r>
        <w:rPr>
          <w:rFonts w:ascii="Times New Roman" w:cs="Times New Roman" w:eastAsia="Times New Roman" w:hAnsi="Times New Roman"/>
          <w:sz w:val="18"/>
          <w:szCs w:val="18"/>
          <w:color w:val="auto"/>
        </w:rPr>
        <w:t>Our focus is on diseases with unmet medical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clinically validated targets with established endpoints for regulatory approval and large potential market opportunities to allow us to minimize our risk profile and efficiently advance our programs through development and regulatory approval. We are continuing to build upon our discovery capabilities to complement the scientific foundation of our co-founder Dr. DiMarchi. Our initial focus is building out a robust pipeline in endocrine and metabolic disorders. Our PEP platform is also widely applicable in discovering and developing peptides in other therapeutic areas.</w:t>
      </w:r>
    </w:p>
    <w:p>
      <w:pPr>
        <w:spacing w:after="0" w:line="74" w:lineRule="exact"/>
        <w:rPr>
          <w:rFonts w:ascii="Times New Roman" w:cs="Times New Roman" w:eastAsia="Times New Roman" w:hAnsi="Times New Roman"/>
          <w:sz w:val="18"/>
          <w:szCs w:val="18"/>
          <w:color w:val="auto"/>
        </w:rPr>
      </w:pPr>
    </w:p>
    <w:p>
      <w:pPr>
        <w:ind w:left="820" w:hanging="385"/>
        <w:spacing w:after="0" w:line="257"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a fully-integrated biopharmaceutical company and selectively evaluate strategic opportunities to maximize the value of our pipeline. </w:t>
      </w:r>
      <w:r>
        <w:rPr>
          <w:rFonts w:ascii="Times New Roman" w:cs="Times New Roman" w:eastAsia="Times New Roman" w:hAnsi="Times New Roman"/>
          <w:sz w:val="18"/>
          <w:szCs w:val="18"/>
          <w:color w:val="auto"/>
        </w:rPr>
        <w:t>We aim to discover, develop, manufacture, and commercialize our endocrine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We may seek strategic collaborations where we believe the resources and expertise of third-party pharmaceutical or biotechnology companies could accelerate the clinical development or maximize the market potential of our product candidates, or where such collaborations could expand our internal capabilities and PEP platform. In particular, assets within our obesity portfolio may also benefit from a partnership to expand the indications under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424815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6" w:name="page7"/>
    <w:bookmarkEnd w:id="6"/>
    <w:p>
      <w:pPr>
        <w:ind w:left="820" w:right="5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8490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50330" cy="8490585"/>
                    </a:xfrm>
                    <a:prstGeom prst="rect">
                      <a:avLst/>
                    </a:prstGeom>
                    <a:noFill/>
                  </pic:spPr>
                </pic:pic>
              </a:graphicData>
            </a:graphic>
          </wp:anchor>
        </w:drawing>
        <w:t>development, such as type 2 diabetes. We may seek additional partnership opportunities which complement our technologies, with the objective of accelerating our development programs and potentially supplementing our future commercial capabilities.</w:t>
      </w:r>
    </w:p>
    <w:p>
      <w:pPr>
        <w:spacing w:after="0" w:line="64" w:lineRule="exact"/>
        <w:rPr>
          <w:sz w:val="20"/>
          <w:szCs w:val="20"/>
          <w:color w:val="auto"/>
        </w:rPr>
      </w:pPr>
    </w:p>
    <w:p>
      <w:pPr>
        <w:ind w:left="820" w:right="380" w:hanging="385"/>
        <w:spacing w:after="0" w:line="26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an entrepreneurial, scientifically rigorous, and inclusive corporate culture where employees are fully engaged and strive to bring improved therapeutic options to patients. </w:t>
      </w:r>
      <w:r>
        <w:rPr>
          <w:rFonts w:ascii="Times New Roman" w:cs="Times New Roman" w:eastAsia="Times New Roman" w:hAnsi="Times New Roman"/>
          <w:sz w:val="18"/>
          <w:szCs w:val="18"/>
          <w:color w:val="auto"/>
        </w:rPr>
        <w:t>We are driven to make a positive impact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worldwide and are guided by our core values of transparency, integrity, teamwork, and innovation to help us achieve our mission rapidly, responsibly, and efficiently.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380" w:firstLine="441"/>
        <w:spacing w:after="0" w:line="258" w:lineRule="auto"/>
        <w:rPr>
          <w:sz w:val="20"/>
          <w:szCs w:val="20"/>
          <w:color w:val="auto"/>
        </w:rPr>
      </w:pPr>
      <w:r>
        <w:rPr>
          <w:rFonts w:ascii="Times New Roman" w:cs="Times New Roman" w:eastAsia="Times New Roman" w:hAnsi="Times New Roman"/>
          <w:sz w:val="18"/>
          <w:szCs w:val="18"/>
          <w:color w:val="auto"/>
        </w:rPr>
        <w:t>We are leveraging our PEP platform to advance a pipeline of programs to treat both endocrine and metabolic disorders with clinically validated targets, established endpoints for regulatory approval, significant unmet needs and large potential market opportunities. Developing product candidates, including conducting preclinical studies and clinical trials, is a time consuming, expensive and uncertain process. We have not yet demonstrated an ability to obtain regulatory approvals. We retain exclusive, worldwide development and commercialization rights to all of our product candidates and discovery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Beyond MBX 4291, we have a robust discovery pipeline including multiple obesity programs in the lead optimization stage of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September 22, 2025, the Company announced topline data from its Phase 2 Avail™ clinical trial of canvuparatide in adult patients with chronic HP. The topline results are summarized below.</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patients (n=64) completed the 12-week study, and 94% of patients elected to enroll in the six month open-label extension (OLE) to further evaluate longer-term outcomes with once-weekly canvuparatide.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Avail Topline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12-week and 6-month Responder Rates:</w:t>
      </w:r>
    </w:p>
    <w:p>
      <w:pPr>
        <w:spacing w:after="0" w:line="221" w:lineRule="exact"/>
        <w:rPr>
          <w:sz w:val="20"/>
          <w:szCs w:val="20"/>
          <w:color w:val="auto"/>
        </w:rPr>
      </w:pPr>
    </w:p>
    <w:p>
      <w:pPr>
        <w:ind w:left="600" w:hanging="281"/>
        <w:spacing w:after="0" w:line="262"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 12 Weeks: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primary composite endpoint (maintaining albumin-adjusted serum calcium levels in the normal range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10.6 mg/dL) and independence from conventional therapy (defined as independence from active vitamin D and receiving no more than 600 mg/day of calcium supplements)) was achieved in 63% of canvuparatide-treated patients (30/48) compared with 31% in placebo-treated patients (5/16) (p=0.042) at Week 12.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424815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3" w:right="1099" w:bottom="1440" w:gutter="0" w:footer="0" w:header="0"/>
        </w:sectPr>
      </w:pPr>
    </w:p>
    <w:bookmarkStart w:id="7" w:name="page8"/>
    <w:bookmarkEnd w:id="7"/>
    <w:p>
      <w:pPr>
        <w:ind w:left="600" w:right="140" w:hanging="281"/>
        <w:spacing w:after="0" w:line="286"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8524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0330" cy="8524875"/>
                    </a:xfrm>
                    <a:prstGeom prst="rect">
                      <a:avLst/>
                    </a:prstGeom>
                    <a:noFill/>
                  </pic:spPr>
                </pic:pic>
              </a:graphicData>
            </a:graphic>
          </wp:anchor>
        </w:drawing>
        <w:t>At 6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OLE, 79% of patients (44/56 evaluable) who received treatment achieved responder status at 6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patients initially randomized to placebo.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 Secondary and Exploratory Endpoints:</w:t>
      </w:r>
    </w:p>
    <w:p>
      <w:pPr>
        <w:spacing w:after="0" w:line="221" w:lineRule="exact"/>
        <w:rPr>
          <w:sz w:val="20"/>
          <w:szCs w:val="20"/>
          <w:color w:val="auto"/>
        </w:rPr>
      </w:pPr>
    </w:p>
    <w:p>
      <w:pPr>
        <w:ind w:left="600" w:right="400" w:hanging="281"/>
        <w:spacing w:after="0" w:line="286"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Pharmacokinetics: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Pharmacokinetic findings were consistent with the Phase 1 results, supporting a once-weekly dosing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154" w:lineRule="exact"/>
        <w:rPr>
          <w:rFonts w:ascii="Times New Roman" w:cs="Times New Roman" w:eastAsia="Times New Roman" w:hAnsi="Times New Roman"/>
          <w:sz w:val="18"/>
          <w:szCs w:val="18"/>
          <w:color w:val="auto"/>
        </w:rPr>
      </w:pPr>
    </w:p>
    <w:p>
      <w:pPr>
        <w:ind w:left="600" w:right="40" w:hanging="281"/>
        <w:spacing w:after="0" w:line="286"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Bone 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Bone turnover and formation markers (BSAP, CTx and P1NP) increased over 12 weeks compared to placebo,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enhanced bone remodeling.</w:t>
      </w:r>
    </w:p>
    <w:p>
      <w:pPr>
        <w:spacing w:after="0" w:line="154" w:lineRule="exact"/>
        <w:rPr>
          <w:rFonts w:ascii="Times New Roman" w:cs="Times New Roman" w:eastAsia="Times New Roman" w:hAnsi="Times New Roman"/>
          <w:sz w:val="18"/>
          <w:szCs w:val="18"/>
          <w:color w:val="auto"/>
        </w:rPr>
      </w:pPr>
    </w:p>
    <w:p>
      <w:pPr>
        <w:ind w:left="600" w:right="240" w:hanging="281"/>
        <w:spacing w:after="0" w:line="286"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Kidney 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patients with elevated urine calcium at screening that normalized at week 12, mean urine calcium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by 48% in patients treated with once-weekly canvuparatide compared with 33% on placebo.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Summary:</w:t>
      </w:r>
    </w:p>
    <w:p>
      <w:pPr>
        <w:spacing w:after="0" w:line="225" w:lineRule="exact"/>
        <w:rPr>
          <w:sz w:val="20"/>
          <w:szCs w:val="20"/>
          <w:color w:val="auto"/>
        </w:rPr>
      </w:pPr>
    </w:p>
    <w:p>
      <w:pPr>
        <w:ind w:left="600" w:hanging="281"/>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doses of canvuparatide were generally well-tolerated with no discontinuations related to canvuparatide.</w:t>
      </w:r>
    </w:p>
    <w:p>
      <w:pPr>
        <w:spacing w:after="0" w:line="225" w:lineRule="exact"/>
        <w:rPr>
          <w:rFonts w:ascii="Times New Roman" w:cs="Times New Roman" w:eastAsia="Times New Roman" w:hAnsi="Times New Roman"/>
          <w:sz w:val="18"/>
          <w:szCs w:val="18"/>
          <w:color w:val="auto"/>
        </w:rPr>
      </w:pPr>
    </w:p>
    <w:p>
      <w:pPr>
        <w:ind w:left="600" w:hanging="281"/>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treatment emergent adverse events were categorized as mild or moderate.</w:t>
      </w:r>
    </w:p>
    <w:p>
      <w:pPr>
        <w:spacing w:after="0" w:line="225" w:lineRule="exact"/>
        <w:rPr>
          <w:rFonts w:ascii="Times New Roman" w:cs="Times New Roman" w:eastAsia="Times New Roman" w:hAnsi="Times New Roman"/>
          <w:sz w:val="18"/>
          <w:szCs w:val="18"/>
          <w:color w:val="auto"/>
        </w:rPr>
      </w:pPr>
    </w:p>
    <w:p>
      <w:pPr>
        <w:ind w:left="600" w:hanging="281"/>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adverse events related to canvuparatide were reported.</w:t>
      </w:r>
    </w:p>
    <w:p>
      <w:pPr>
        <w:spacing w:after="0" w:line="225" w:lineRule="exact"/>
        <w:rPr>
          <w:rFonts w:ascii="Times New Roman" w:cs="Times New Roman" w:eastAsia="Times New Roman" w:hAnsi="Times New Roman"/>
          <w:sz w:val="18"/>
          <w:szCs w:val="18"/>
          <w:color w:val="auto"/>
        </w:rPr>
      </w:pPr>
    </w:p>
    <w:p>
      <w:pPr>
        <w:ind w:left="600" w:hanging="281"/>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Injection site reactions: 19% in the pooled treatment group versus 13% in placebo.</w:t>
      </w:r>
    </w:p>
    <w:p>
      <w:pPr>
        <w:spacing w:after="0" w:line="225" w:lineRule="exact"/>
        <w:rPr>
          <w:rFonts w:ascii="Times New Roman" w:cs="Times New Roman" w:eastAsia="Times New Roman" w:hAnsi="Times New Roman"/>
          <w:sz w:val="18"/>
          <w:szCs w:val="18"/>
          <w:color w:val="auto"/>
        </w:rPr>
      </w:pPr>
    </w:p>
    <w:p>
      <w:pPr>
        <w:ind w:left="600" w:hanging="281"/>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deaths were reported.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Future Development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initiate a Phase 3 clinical trial of once-weekly canvuparatide in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were founded as MBX Biosciences LLC, an Indiana limited liability company, in August 2018. We converted to a Delaware corporation in April 2019 and incorporated under the name MBX Biosciences, Inc. Our principal executive offices are located at 11711 N. Meridian Street, Suite 300, Carmel, Indiana 46032, and our telephone number is (317) 659-0200. Our website address is https://www.mbxbio.com.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right="160" w:firstLine="441"/>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68" w:lineRule="exact"/>
        <w:rPr>
          <w:sz w:val="20"/>
          <w:szCs w:val="20"/>
          <w:color w:val="auto"/>
        </w:rPr>
      </w:pPr>
    </w:p>
    <w:p>
      <w:pPr>
        <w:ind w:left="820" w:right="220" w:hanging="385"/>
        <w:spacing w:after="0" w:line="26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7" w:lineRule="exact"/>
        <w:rPr>
          <w:rFonts w:ascii="Times New Roman" w:cs="Times New Roman" w:eastAsia="Times New Roman" w:hAnsi="Times New Roman"/>
          <w:sz w:val="18"/>
          <w:szCs w:val="18"/>
          <w:color w:val="auto"/>
        </w:rPr>
      </w:pPr>
    </w:p>
    <w:p>
      <w:pPr>
        <w:ind w:left="820" w:hanging="385"/>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17" w:lineRule="exact"/>
        <w:rPr>
          <w:rFonts w:ascii="Times New Roman" w:cs="Times New Roman" w:eastAsia="Times New Roman" w:hAnsi="Times New Roman"/>
          <w:sz w:val="18"/>
          <w:szCs w:val="18"/>
          <w:color w:val="auto"/>
        </w:rPr>
      </w:pPr>
    </w:p>
    <w:p>
      <w:pPr>
        <w:ind w:left="820" w:right="440" w:hanging="385"/>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w:t>
      </w:r>
    </w:p>
    <w:p>
      <w:pPr>
        <w:spacing w:after="0" w:line="53" w:lineRule="exact"/>
        <w:rPr>
          <w:rFonts w:ascii="Times New Roman" w:cs="Times New Roman" w:eastAsia="Times New Roman" w:hAnsi="Times New Roman"/>
          <w:sz w:val="18"/>
          <w:szCs w:val="18"/>
          <w:color w:val="auto"/>
        </w:rPr>
      </w:pPr>
    </w:p>
    <w:p>
      <w:pPr>
        <w:ind w:left="820" w:right="320" w:hanging="385"/>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 and</w:t>
      </w:r>
    </w:p>
    <w:p>
      <w:pPr>
        <w:spacing w:after="0" w:line="53" w:lineRule="exact"/>
        <w:rPr>
          <w:rFonts w:ascii="Times New Roman" w:cs="Times New Roman" w:eastAsia="Times New Roman" w:hAnsi="Times New Roman"/>
          <w:sz w:val="18"/>
          <w:szCs w:val="18"/>
          <w:color w:val="auto"/>
        </w:rPr>
      </w:pPr>
    </w:p>
    <w:p>
      <w:pPr>
        <w:ind w:left="820" w:right="180" w:hanging="385"/>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424815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211" w:right="1119" w:bottom="1440" w:gutter="0" w:footer="0" w:header="0"/>
        </w:sectPr>
      </w:pPr>
    </w:p>
    <w:bookmarkStart w:id="8" w:name="page9"/>
    <w:bookmarkEnd w:id="8"/>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4684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50330" cy="4684395"/>
                    </a:xfrm>
                    <a:prstGeom prst="rect">
                      <a:avLst/>
                    </a:prstGeom>
                    <a:noFill/>
                  </pic:spPr>
                </pic:pic>
              </a:graphicData>
            </a:graphic>
          </wp:anchor>
        </w:drawing>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Securities and Exchange Commission, or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adoptions is permitted for private companies.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plus the proposed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amount of gross proceeds to us as a result of this offering is less than $700 million and our annual revenue was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during the most recently completed fiscal year. We may continue to be a smaller reporting company after this offering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(i) the market value of our shares held by non-affiliates is less than $250 million or (ii) our annual revenue was less than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during the most recently completed fiscal year and the market value of our shares held by nonaffiliates is less than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If we are a smaller reporting company at the time we cease to be an emerging growth company, we may continue to rely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exemptions from certain disclosure requirements that are available to smaller reporting companies. Specifically, as a smaller reporting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we may choose to present only the two most recent fiscal years of audited financial statements in our Annual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and, similar to emerging growth companies, smaller reporting companies have reduced disclosure obligations regarding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424815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431" w:right="115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833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50330" cy="8336280"/>
                    </a:xfrm>
                    <a:prstGeom prst="rect">
                      <a:avLst/>
                    </a:prstGeom>
                    <a:noFill/>
                  </pic:spPr>
                </pic:pic>
              </a:graphicData>
            </a:graphic>
          </wp:anchor>
        </w:drawing>
        <w:t>The Offering</w:t>
      </w:r>
    </w:p>
    <w:p>
      <w:pPr>
        <w:spacing w:after="0" w:line="256"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8"/>
          <w:szCs w:val="18"/>
          <w:color w:val="auto"/>
        </w:rPr>
        <w:t>Shares of common stock offered by us</w:t>
      </w:r>
      <w:r>
        <w:rPr>
          <w:sz w:val="20"/>
          <w:szCs w:val="20"/>
          <w:color w:val="auto"/>
        </w:rPr>
        <w:tab/>
      </w:r>
      <w:r>
        <w:rPr>
          <w:rFonts w:ascii="Times New Roman" w:cs="Times New Roman" w:eastAsia="Times New Roman" w:hAnsi="Times New Roman"/>
          <w:sz w:val="17"/>
          <w:szCs w:val="17"/>
          <w:color w:val="auto"/>
        </w:rPr>
        <w:t>10,000,000 shares.</w:t>
      </w:r>
    </w:p>
    <w:p>
      <w:pPr>
        <w:spacing w:after="0" w:line="225"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8"/>
          <w:szCs w:val="18"/>
          <w:color w:val="auto"/>
        </w:rPr>
        <w:t>Underwriters’ option to purchase additional shares</w:t>
      </w:r>
      <w:r>
        <w:rPr>
          <w:sz w:val="20"/>
          <w:szCs w:val="20"/>
          <w:color w:val="auto"/>
        </w:rPr>
        <w:tab/>
      </w:r>
      <w:r>
        <w:rPr>
          <w:rFonts w:ascii="Times New Roman" w:cs="Times New Roman" w:eastAsia="Times New Roman" w:hAnsi="Times New Roman"/>
          <w:sz w:val="17"/>
          <w:szCs w:val="17"/>
          <w:color w:val="auto"/>
        </w:rPr>
        <w:t>We have granted the underwriters a 30-day option to purchase up to</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1,500,000 additional shares of our common stock at the public offering</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price, less underwriting discounts and commissions on the same terms</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as set forth in this prospectus.</w:t>
      </w:r>
    </w:p>
    <w:p>
      <w:pPr>
        <w:sectPr>
          <w:pgSz w:w="11900" w:h="16838" w:orient="portrait"/>
          <w:cols w:equalWidth="0" w:num="1">
            <w:col w:w="9720"/>
          </w:cols>
          <w:pgMar w:left="1080" w:top="1211" w:right="1099" w:bottom="1440" w:gutter="0" w:footer="0" w:header="0"/>
        </w:sectPr>
      </w:pPr>
    </w:p>
    <w:p>
      <w:pPr>
        <w:spacing w:after="0" w:line="207" w:lineRule="exact"/>
        <w:rPr>
          <w:sz w:val="20"/>
          <w:szCs w:val="20"/>
          <w:color w:val="auto"/>
        </w:rPr>
      </w:pPr>
    </w:p>
    <w:p>
      <w:pPr>
        <w:ind w:left="220" w:hanging="219"/>
        <w:spacing w:after="0" w:line="282" w:lineRule="auto"/>
        <w:rPr>
          <w:sz w:val="20"/>
          <w:szCs w:val="20"/>
          <w:color w:val="auto"/>
        </w:rPr>
      </w:pPr>
      <w:r>
        <w:rPr>
          <w:rFonts w:ascii="Times New Roman" w:cs="Times New Roman" w:eastAsia="Times New Roman" w:hAnsi="Times New Roman"/>
          <w:sz w:val="18"/>
          <w:szCs w:val="18"/>
          <w:color w:val="auto"/>
        </w:rPr>
        <w:t>Shares of our common stock to be outstanding after this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43,592,226 shares (or 45,092,226 shares if the underwriters exercise their option to purchase additional shares in full).</w:t>
      </w:r>
    </w:p>
    <w:p>
      <w:pPr>
        <w:spacing w:after="0" w:line="16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estimate that the net proceeds to us from the sale of 10,000,000 shares of our common stock in this offering will be approximately $92.6 million, or $106.5 million if the underwriters exercise their option to purchase additional shares in full, based on the assumed public offering price of $10.00 per share, the last reported sale price of our common stock on Nasdaq on September 19, 2025, and after deducting underwriting discounts and commissions and offering expenses payable by us. We intend to use the net proceeds of this offering, together with our existing cash and cash equivalents and short-term investments, to fund the continued development of canvuparatide, imapextide, and MBX 4291, as well as our other obesity preclinical stage program, our discovery research and development activities and additional clinical development and for general corporate purposes and working capital. See “Use of proceeds.”</w:t>
      </w:r>
    </w:p>
    <w:p>
      <w:pPr>
        <w:spacing w:after="0" w:line="196" w:lineRule="exact"/>
        <w:rPr>
          <w:sz w:val="20"/>
          <w:szCs w:val="20"/>
          <w:color w:val="auto"/>
        </w:rPr>
      </w:pPr>
    </w:p>
    <w:p>
      <w:pPr>
        <w:sectPr>
          <w:pgSz w:w="11900" w:h="16838" w:orient="portrait"/>
          <w:cols w:equalWidth="0" w:num="2">
            <w:col w:w="4020" w:space="560"/>
            <w:col w:w="5140"/>
          </w:cols>
          <w:pgMar w:left="1080" w:top="1211" w:right="1099" w:bottom="1440" w:gutter="0" w:footer="0" w:header="0"/>
          <w:type w:val="continuous"/>
        </w:sectPr>
      </w:pPr>
    </w:p>
    <w:p>
      <w:pPr>
        <w:spacing w:after="0"/>
        <w:tabs>
          <w:tab w:leader="none" w:pos="4560" w:val="left"/>
        </w:tabs>
        <w:rPr>
          <w:sz w:val="20"/>
          <w:szCs w:val="20"/>
          <w:color w:val="auto"/>
        </w:rPr>
      </w:pPr>
      <w:r>
        <w:rPr>
          <w:rFonts w:ascii="Times New Roman" w:cs="Times New Roman" w:eastAsia="Times New Roman" w:hAnsi="Times New Roman"/>
          <w:sz w:val="18"/>
          <w:szCs w:val="18"/>
          <w:color w:val="auto"/>
        </w:rPr>
        <w:t>Nasdaq Global Select Market trading symbol</w:t>
      </w:r>
      <w:r>
        <w:rPr>
          <w:sz w:val="20"/>
          <w:szCs w:val="20"/>
          <w:color w:val="auto"/>
        </w:rPr>
        <w:tab/>
      </w:r>
      <w:r>
        <w:rPr>
          <w:rFonts w:ascii="Times New Roman" w:cs="Times New Roman" w:eastAsia="Times New Roman" w:hAnsi="Times New Roman"/>
          <w:sz w:val="17"/>
          <w:szCs w:val="17"/>
          <w:color w:val="auto"/>
        </w:rPr>
        <w:t>Our common stock is listed on the Nasdaq Global Select Market under</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the symbol “MBX”.</w:t>
      </w:r>
    </w:p>
    <w:p>
      <w:pPr>
        <w:spacing w:after="0" w:line="207"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color w:val="auto"/>
        </w:rPr>
        <w:t>Investment in our common stock involves substantial risks. You should</w:t>
      </w:r>
    </w:p>
    <w:p>
      <w:pPr>
        <w:spacing w:after="0" w:line="27" w:lineRule="exact"/>
        <w:rPr>
          <w:sz w:val="20"/>
          <w:szCs w:val="20"/>
          <w:color w:val="auto"/>
        </w:rPr>
      </w:pPr>
    </w:p>
    <w:p>
      <w:pPr>
        <w:ind w:left="4580" w:right="200"/>
        <w:spacing w:after="0" w:line="252" w:lineRule="auto"/>
        <w:rPr>
          <w:sz w:val="20"/>
          <w:szCs w:val="20"/>
          <w:color w:val="auto"/>
        </w:rPr>
      </w:pPr>
      <w:r>
        <w:rPr>
          <w:rFonts w:ascii="Times New Roman" w:cs="Times New Roman" w:eastAsia="Times New Roman" w:hAnsi="Times New Roman"/>
          <w:sz w:val="18"/>
          <w:szCs w:val="18"/>
          <w:color w:val="auto"/>
        </w:rPr>
        <w:t>read this prospectus carefully, including the section entitled “Risk factors” and the sections incorporated by reference from our Annual Report on Form 10-K for the year ended December 31, 2024 and Quarterly Reports on Form 10-Q for the quarters ended March 31, 2025 and June 30, 2025, together with all other information included and incorporated by reference in this prospectus, before investing in our common stock.</w:t>
      </w:r>
    </w:p>
    <w:p>
      <w:pPr>
        <w:spacing w:after="0" w:line="188"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outstanding after this offering is based on 33,592,226 shares of our common stock (which includes 5,077 shares underlying unvested restricted stock awards subject to a repurchase option by us) outstanding as of June 30, 2025, and excludes:</w:t>
      </w:r>
    </w:p>
    <w:p>
      <w:pPr>
        <w:spacing w:after="0" w:line="68" w:lineRule="exact"/>
        <w:rPr>
          <w:sz w:val="20"/>
          <w:szCs w:val="20"/>
          <w:color w:val="auto"/>
        </w:rPr>
      </w:pPr>
    </w:p>
    <w:p>
      <w:pPr>
        <w:ind w:left="820" w:right="400" w:hanging="385"/>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2,702,705 shares of common stock issuable upon the exercise of stock options outstanding as of June 30, 2025, with a weighted-average exercise price of $7.18 per share under our 2019 Stock Option and Grant Plan, or the 2019 Plan;</w:t>
      </w:r>
    </w:p>
    <w:p>
      <w:pPr>
        <w:spacing w:after="0" w:line="53" w:lineRule="exact"/>
        <w:rPr>
          <w:rFonts w:ascii="Times New Roman" w:cs="Times New Roman" w:eastAsia="Times New Roman" w:hAnsi="Times New Roman"/>
          <w:sz w:val="18"/>
          <w:szCs w:val="18"/>
          <w:color w:val="auto"/>
        </w:rPr>
      </w:pPr>
    </w:p>
    <w:p>
      <w:pPr>
        <w:ind w:left="820" w:right="300" w:hanging="385"/>
        <w:spacing w:after="0" w:line="312" w:lineRule="auto"/>
        <w:tabs>
          <w:tab w:leader="none" w:pos="8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1,640,484 shares of common stock issuable upon the exercise of stock options outstanding as of June 30, 2025, with a weighted-average exercise price of $12.29 per share under our 2024 Stock Option and Incentive Plan, or the 2024 Plan;</w:t>
      </w:r>
    </w:p>
    <w:p>
      <w:pPr>
        <w:spacing w:after="0" w:line="31" w:lineRule="exact"/>
        <w:rPr>
          <w:rFonts w:ascii="Times New Roman" w:cs="Times New Roman" w:eastAsia="Times New Roman" w:hAnsi="Times New Roman"/>
          <w:sz w:val="17"/>
          <w:szCs w:val="17"/>
          <w:color w:val="auto"/>
        </w:rPr>
      </w:pPr>
    </w:p>
    <w:p>
      <w:pPr>
        <w:ind w:left="820" w:right="100" w:hanging="385"/>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286,800 shares of common stock issuable upon the exercise of stock options granted after June 30, 2025, with a weighted-average exercise price of $11.74 per share under the 2024 Plan;</w:t>
      </w:r>
    </w:p>
    <w:p>
      <w:pPr>
        <w:spacing w:after="0" w:line="53" w:lineRule="exact"/>
        <w:rPr>
          <w:rFonts w:ascii="Times New Roman" w:cs="Times New Roman" w:eastAsia="Times New Roman" w:hAnsi="Times New Roman"/>
          <w:sz w:val="18"/>
          <w:szCs w:val="18"/>
          <w:color w:val="auto"/>
        </w:rPr>
      </w:pPr>
    </w:p>
    <w:p>
      <w:pPr>
        <w:ind w:left="820" w:hanging="385"/>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3,262,897 shares of common stock reserved for issuance under the 2024 Plan as of June 30, 2025; and</w:t>
      </w:r>
    </w:p>
    <w:p>
      <w:pPr>
        <w:spacing w:after="0" w:line="117" w:lineRule="exact"/>
        <w:rPr>
          <w:rFonts w:ascii="Times New Roman" w:cs="Times New Roman" w:eastAsia="Times New Roman" w:hAnsi="Times New Roman"/>
          <w:sz w:val="18"/>
          <w:szCs w:val="18"/>
          <w:color w:val="auto"/>
        </w:rPr>
      </w:pPr>
    </w:p>
    <w:p>
      <w:pPr>
        <w:ind w:left="820" w:right="140" w:hanging="385"/>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623,651 shares of common stock reserved for future issuance under our 2024 Employee Stock Purchase Plan, or the 2024 ESPP, as of June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424815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type w:val="continuous"/>
        </w:sectPr>
      </w:pPr>
    </w:p>
    <w:bookmarkStart w:id="10" w:name="page11"/>
    <w:bookmarkEnd w:id="10"/>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2078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50330" cy="2078355"/>
                    </a:xfrm>
                    <a:prstGeom prst="rect">
                      <a:avLst/>
                    </a:prstGeom>
                    <a:noFill/>
                  </pic:spPr>
                </pic:pic>
              </a:graphicData>
            </a:graphic>
          </wp:anchor>
        </w:drawing>
        <w:t>Except as otherwise noted, all information in this prospectus assumes:</w:t>
      </w:r>
    </w:p>
    <w:p>
      <w:pPr>
        <w:spacing w:after="0" w:line="117" w:lineRule="exact"/>
        <w:rPr>
          <w:sz w:val="20"/>
          <w:szCs w:val="20"/>
          <w:color w:val="auto"/>
        </w:rPr>
      </w:pPr>
    </w:p>
    <w:p>
      <w:pPr>
        <w:ind w:left="460" w:hanging="38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up to 1,500,000 additional shares of common stock in this offering;</w:t>
      </w:r>
    </w:p>
    <w:p>
      <w:pPr>
        <w:spacing w:after="0" w:line="117" w:lineRule="exact"/>
        <w:rPr>
          <w:rFonts w:ascii="Times New Roman" w:cs="Times New Roman" w:eastAsia="Times New Roman" w:hAnsi="Times New Roman"/>
          <w:sz w:val="18"/>
          <w:szCs w:val="18"/>
          <w:color w:val="auto"/>
        </w:rPr>
      </w:pPr>
    </w:p>
    <w:p>
      <w:pPr>
        <w:ind w:left="460" w:hanging="385"/>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public offering price of $10.00 per share, which is the last reported sale price of our common stock on Nasdaq on September 19, 2025.</w:t>
      </w:r>
    </w:p>
    <w:p>
      <w:pPr>
        <w:spacing w:after="0" w:line="53" w:lineRule="exact"/>
        <w:rPr>
          <w:rFonts w:ascii="Times New Roman" w:cs="Times New Roman" w:eastAsia="Times New Roman" w:hAnsi="Times New Roman"/>
          <w:sz w:val="18"/>
          <w:szCs w:val="18"/>
          <w:color w:val="auto"/>
        </w:rPr>
      </w:pPr>
    </w:p>
    <w:p>
      <w:pPr>
        <w:ind w:left="460" w:hanging="38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of the restricted common stock described above; and</w:t>
      </w:r>
    </w:p>
    <w:p>
      <w:pPr>
        <w:spacing w:after="0" w:line="117" w:lineRule="exact"/>
        <w:rPr>
          <w:rFonts w:ascii="Times New Roman" w:cs="Times New Roman" w:eastAsia="Times New Roman" w:hAnsi="Times New Roman"/>
          <w:sz w:val="18"/>
          <w:szCs w:val="18"/>
          <w:color w:val="auto"/>
        </w:rPr>
      </w:pPr>
    </w:p>
    <w:p>
      <w:pPr>
        <w:ind w:left="460" w:hanging="38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w:t>
      </w:r>
    </w:p>
    <w:p>
      <w:pPr>
        <w:spacing w:after="0" w:line="22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424815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20"/>
          </w:cols>
          <w:pgMar w:left="1440" w:top="1431" w:right="1139" w:bottom="1440" w:gutter="0" w:footer="0" w:header="0"/>
        </w:sectPr>
      </w:pPr>
    </w:p>
    <w:bookmarkStart w:id="11" w:name="page12"/>
    <w:bookmarkEnd w:id="11"/>
    <w:p>
      <w:pPr>
        <w:jc w:val="center"/>
        <w:ind w:righ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6021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50330" cy="6021705"/>
                    </a:xfrm>
                    <a:prstGeom prst="rect">
                      <a:avLst/>
                    </a:prstGeom>
                    <a:noFill/>
                  </pic:spPr>
                </pic:pic>
              </a:graphicData>
            </a:graphic>
          </wp:anchor>
        </w:drawing>
        <w:t>Summary Financial Data</w:t>
      </w:r>
    </w:p>
    <w:p>
      <w:pPr>
        <w:spacing w:after="0" w:line="229" w:lineRule="exact"/>
        <w:rPr>
          <w:sz w:val="20"/>
          <w:szCs w:val="20"/>
          <w:color w:val="auto"/>
        </w:rPr>
      </w:pPr>
    </w:p>
    <w:p>
      <w:pPr>
        <w:ind w:left="5" w:right="20" w:firstLine="441"/>
        <w:spacing w:after="0" w:line="252" w:lineRule="auto"/>
        <w:rPr>
          <w:sz w:val="20"/>
          <w:szCs w:val="20"/>
          <w:color w:val="auto"/>
        </w:rPr>
      </w:pPr>
      <w:r>
        <w:rPr>
          <w:rFonts w:ascii="Times New Roman" w:cs="Times New Roman" w:eastAsia="Times New Roman" w:hAnsi="Times New Roman"/>
          <w:sz w:val="18"/>
          <w:szCs w:val="18"/>
          <w:color w:val="auto"/>
        </w:rPr>
        <w:t>The following tables set forth a summary of our historical financial data as of, and for the periods ended on, the dates indicated. We have derived the summary statements of operations and comprehensive loss data for the years ended December 31, 2024 and 2023 from our audited financial statements contained in our Annual Report on Form 10-K for the year ended December 31, 2024, which is incorporated by reference in this prospectus. We have derived the summary statements of operations and comprehensive loss data for the six months ended June 30, 2025 and 2024 and the summary balance sheet data as of June 30, 2025 from our unaudited condensed financial statements contained in our Quarterly Report on Form 10-Q for the quarter ended June 30, 2025, which is incorporated by reference in this prospectus. The unaudited condensed financial statements have been prepared on a basis consistent with our audited financial statements contained in our Annual Report on Form 10-K for the year ended December 31, 2024 and, in the opinion of management, reflect all adjustments, consisting only of normal recurring adjustments, necessary to fairly state the financial information in those statements. You should read these data together with our financial statements and related notes thereto and the section titled “Management’s Discussion and Analysis of Financial Condition and Results of Operations,” each incorporated by reference in this prospectus from our Annual Report on Form 10-K for the year ended December 31, 2024 and our Quarterly Report on Form 10-Q for the quarter ended June 30, 2025. Our historical results for any prior period are not necessarily indicative of our future results, and our interim results are not necessarily indicative of our expected results for the year ended December 31, 2025.</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4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3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68,194</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35,311</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(68,194)</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(35,311)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(48,334)</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(61,922)</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(32,563)</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(43,291)</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of net losses included in net loss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gain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(61,927)</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(32,506)</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(43,335)</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tcPr>
          <w:p>
            <w:pPr>
              <w:spacing w:after="0" w:line="197" w:lineRule="exact"/>
              <w:rPr>
                <w:sz w:val="20"/>
                <w:szCs w:val="20"/>
                <w:color w:val="auto"/>
              </w:rPr>
            </w:pPr>
            <w:r>
              <w:rPr>
                <w:rFonts w:ascii="Times New Roman" w:cs="Times New Roman" w:eastAsia="Times New Roman" w:hAnsi="Times New Roman"/>
                <w:sz w:val="17"/>
                <w:szCs w:val="17"/>
                <w:color w:val="auto"/>
              </w:rPr>
              <w:t>Net loss attributable to common stockholders</w:t>
            </w:r>
            <w:r>
              <w:rPr>
                <w:rFonts w:ascii="Times New Roman" w:cs="Times New Roman" w:eastAsia="Times New Roman" w:hAnsi="Times New Roman"/>
                <w:sz w:val="22"/>
                <w:szCs w:val="22"/>
                <w:color w:val="auto"/>
                <w:vertAlign w:val="superscript"/>
              </w:rPr>
              <w:t>(1)</w:t>
            </w: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(61,922)</w:t>
            </w:r>
          </w:p>
        </w:tc>
        <w:tc>
          <w:tcPr>
            <w:tcW w:w="11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(32,563)</w:t>
            </w:r>
          </w:p>
        </w:tc>
        <w:tc>
          <w:tcPr>
            <w:tcW w:w="12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(43,291)</w:t>
            </w:r>
          </w:p>
        </w:tc>
        <w:tc>
          <w:tcPr>
            <w:tcW w:w="11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(28,194)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(31.96)</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outstanding used in</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10,642,954</w:t>
            </w:r>
          </w:p>
        </w:tc>
        <w:tc>
          <w:tcPr>
            <w:tcW w:w="22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1,018,757</w:t>
            </w:r>
          </w:p>
        </w:tc>
        <w:tc>
          <w:tcPr>
            <w:tcW w:w="18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33,429,479</w:t>
            </w:r>
          </w:p>
        </w:tc>
        <w:tc>
          <w:tcPr>
            <w:tcW w:w="200" w:type="dxa"/>
            <w:vAlign w:val="bottom"/>
            <w:tcBorders>
              <w:top w:val="single" w:sz="8" w:color="CFF0FC"/>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1,229,473</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6"/>
                <w:szCs w:val="16"/>
                <w:color w:val="auto"/>
              </w:rPr>
            </w:pPr>
          </w:p>
        </w:tc>
        <w:tc>
          <w:tcPr>
            <w:tcW w:w="49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computation of net loss per common share, basic and diluted</w:t>
            </w: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5" w:right="120" w:hanging="385"/>
        <w:spacing w:after="0" w:line="236" w:lineRule="auto"/>
        <w:tabs>
          <w:tab w:leader="none" w:pos="38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2 and 15 to our audited financial statements and note 14 to our unaudited condensed interim financial statements appearing in our Annual Report on Form 10-K for the year ended December 31, 2024 and our Quarterly Report on Form 10-Q for the quarter ended June 30, 2025, respectively, for an explanation of the method used to calculate the net loss per share attributable to common stockholders, basic and diluted, and the weighted average number of shares used in the computation of the per share amounts.</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424815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45"/>
          </w:cols>
          <w:pgMar w:left="1075" w:top="1211" w:right="1079" w:bottom="1440" w:gutter="0" w:footer="0" w:header="0"/>
        </w:sectPr>
      </w:pPr>
    </w:p>
    <w:bookmarkStart w:id="12" w:name="page13"/>
    <w:bookmarkEnd w:id="12"/>
    <w:tbl>
      <w:tblPr>
        <w:tblLayout w:type="fixed"/>
        <w:tblInd w:w="5"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June 30, 2025</w:t>
            </w:r>
          </w:p>
        </w:tc>
      </w:tr>
      <w:tr>
        <w:trPr>
          <w:trHeight w:val="189"/>
        </w:trPr>
        <w:tc>
          <w:tcPr>
            <w:tcW w:w="5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3"/>
              <w:spacing w:after="0" w:line="189" w:lineRule="exact"/>
              <w:rPr>
                <w:sz w:val="20"/>
                <w:szCs w:val="20"/>
                <w:color w:val="auto"/>
              </w:rPr>
            </w:pPr>
            <w:r>
              <w:rPr>
                <w:rFonts w:ascii="Times New Roman" w:cs="Times New Roman" w:eastAsia="Times New Roman" w:hAnsi="Times New Roman"/>
                <w:sz w:val="14"/>
                <w:szCs w:val="14"/>
                <w:b w:val="1"/>
                <w:bCs w:val="1"/>
                <w:color w:val="auto"/>
                <w:w w:val="97"/>
              </w:rPr>
              <w:t>As Adjusted</w:t>
            </w:r>
            <w:r>
              <w:rPr>
                <w:rFonts w:ascii="Times New Roman" w:cs="Times New Roman" w:eastAsia="Times New Roman" w:hAnsi="Times New Roman"/>
                <w:sz w:val="19"/>
                <w:szCs w:val="19"/>
                <w:b w:val="1"/>
                <w:bCs w:val="1"/>
                <w:color w:val="auto"/>
                <w:w w:val="97"/>
                <w:vertAlign w:val="superscript"/>
              </w:rPr>
              <w:t>(1)(2)</w:t>
            </w:r>
          </w:p>
        </w:tc>
        <w:tc>
          <w:tcPr>
            <w:tcW w:w="100" w:type="dxa"/>
            <w:vAlign w:val="bottom"/>
          </w:tcPr>
          <w:p>
            <w:pPr>
              <w:spacing w:after="0"/>
              <w:rPr>
                <w:sz w:val="16"/>
                <w:szCs w:val="16"/>
                <w:color w:val="auto"/>
              </w:rPr>
            </w:pPr>
          </w:p>
        </w:tc>
      </w:tr>
      <w:tr>
        <w:trPr>
          <w:trHeight w:val="117"/>
        </w:trPr>
        <w:tc>
          <w:tcPr>
            <w:tcW w:w="5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20" w:type="dxa"/>
            <w:vAlign w:val="bottom"/>
            <w:gridSpan w:val="6"/>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for share data)</w:t>
            </w:r>
          </w:p>
        </w:tc>
      </w:tr>
      <w:tr>
        <w:trPr>
          <w:trHeight w:val="173"/>
        </w:trPr>
        <w:tc>
          <w:tcPr>
            <w:tcW w:w="5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224,906</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317,456</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(3)</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309,984</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324,072</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(180,796)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(180,796)</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219,239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311,789</w:t>
            </w:r>
          </w:p>
        </w:tc>
        <w:tc>
          <w:tcPr>
            <w:tcW w:w="100" w:type="dxa"/>
            <w:vAlign w:val="bottom"/>
          </w:tcPr>
          <w:p>
            <w:pPr>
              <w:spacing w:after="0"/>
              <w:rPr>
                <w:sz w:val="20"/>
                <w:szCs w:val="20"/>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549275</wp:posOffset>
            </wp:positionH>
            <wp:positionV relativeFrom="page">
              <wp:posOffset>361315</wp:posOffset>
            </wp:positionV>
            <wp:extent cx="6450330" cy="3681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50330" cy="3681730"/>
                    </a:xfrm>
                    <a:prstGeom prst="rect">
                      <a:avLst/>
                    </a:prstGeom>
                    <a:noFill/>
                  </pic:spPr>
                </pic:pic>
              </a:graphicData>
            </a:graphic>
          </wp:anchor>
        </w:drawing>
      </w:r>
    </w:p>
    <w:p>
      <w:pPr>
        <w:ind w:left="385" w:right="80" w:hanging="385"/>
        <w:spacing w:after="0" w:line="227" w:lineRule="auto"/>
        <w:tabs>
          <w:tab w:leader="none" w:pos="38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amounts give effect to the issuance and sale by us of 10,000,000 shares of our common stock in this offering at the assumed public offering price of $10.00 per share, the last reported sale price of our common stock on Nasdaq on September 19, 2025, after deducting the estimated underwriting discounts and commissions and estimated offering expenses payable by us. Each $1.00 increase or decrease in the assumed public offering price of $10.00 per share would increase or decrease, as applicable, the as adjusted amount of each of our cash, cash equivalents and marketable securities, working capital, total assets and total stockholders’ equity by approximately $9.3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public offering price of $10.00 per share would increase or decrease, as applicable, the as adjusted amounts of each of our cash, cash equivalents and marketable securities, working capital, total assets and total stockholders’ equity by approximately $9.3 million, after deducting the estimated underwriting discounts and commissions and estimated offering expenses payable by us.</w:t>
      </w:r>
    </w:p>
    <w:p>
      <w:pPr>
        <w:spacing w:after="0" w:line="74" w:lineRule="exact"/>
        <w:rPr>
          <w:rFonts w:ascii="Times New Roman" w:cs="Times New Roman" w:eastAsia="Times New Roman" w:hAnsi="Times New Roman"/>
          <w:sz w:val="14"/>
          <w:szCs w:val="14"/>
          <w:color w:val="auto"/>
        </w:rPr>
      </w:pPr>
    </w:p>
    <w:p>
      <w:pPr>
        <w:ind w:left="385" w:right="540" w:hanging="385"/>
        <w:spacing w:after="0" w:line="261" w:lineRule="auto"/>
        <w:tabs>
          <w:tab w:leader="none" w:pos="38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 adjusted information discussed above is illustrative only and will be adjusted based on actual public offering price and other terms of this offering determined at pricing.</w:t>
      </w:r>
    </w:p>
    <w:p>
      <w:pPr>
        <w:spacing w:after="0" w:line="54" w:lineRule="exact"/>
        <w:rPr>
          <w:rFonts w:ascii="Times New Roman" w:cs="Times New Roman" w:eastAsia="Times New Roman" w:hAnsi="Times New Roman"/>
          <w:sz w:val="14"/>
          <w:szCs w:val="14"/>
          <w:color w:val="auto"/>
        </w:rPr>
      </w:pPr>
    </w:p>
    <w:p>
      <w:pPr>
        <w:ind w:left="385" w:right="120" w:hanging="385"/>
        <w:spacing w:after="0" w:line="261" w:lineRule="auto"/>
        <w:tabs>
          <w:tab w:leader="none" w:pos="38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financial statements and the related notes incorporated by reference in this prospectus from our Quarterly Report on Form 10-Q for the quarter ended June 30, 2025 for further details regarding our current assets and current liabilities.</w:t>
      </w:r>
    </w:p>
    <w:p>
      <w:pPr>
        <w:spacing w:after="0" w:line="16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424815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45"/>
          </w:cols>
          <w:pgMar w:left="1075" w:top="1410" w:right="107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and uncertainties described below and those discussed under the section titled “Risk Factors” contained in our Annual Report on Form 10-K for the year ended December 31, 2024 and in our Quarterly Reports on Form 10-Q for the quarters ended March 31, 2025 and June 30, 2025, each incorporated by reference in this prospectus, together with all of the other information contained or incorporated by reference in this prospectus,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financial condition, results of operations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cash equivalents and marketable securities, including the net proceeds from this offering, and may use them ineffectively, in ways with which you do not agree or in ways that do not increase the value of your investment.</w:t>
      </w:r>
    </w:p>
    <w:p>
      <w:pPr>
        <w:spacing w:after="0" w:line="6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cash equivalents and marketable securities, including the net proceeds from this offering, and could spend the proceeds in ways that do not improve our results of operations. The failure by our management to apply these funds effectively could result in additional operating losses that could have a negative impact on our business, cause the price of our common stock to decline and delay the development of canvuparatide, imapextide, MBX 4291 and any future product candidates. Pending their use, we may invest our cash, cash equivalents and marketable securities, including the net proceeds from this offering, in a manner that does not produce income or that loses value. See the section titled “Use of Proceeds” for additional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securities in this offering, you will suffer immediate dilution of your investment.</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public offering price of our common stock will be substantially higher than the as adjusted net tangible book value per share as of June 30, 2025. Therefore, if you purchase our common stock in this offering, you will pay a price per share of common stock that substantially exceeds our as adjusted net tangible book value per share immediately after this offering. Based on the assumed public offering price of $10.00 per share, the last reported sale price of our common stock on Nasdaq on September 19, 2025, and after deducting the estimated underwriting discounts and commissions and estimated offering expenses payable by us, you will experience immediate dilution of $2.85 per share, representing the difference between our as adjusted net tangible book value per share after this offering and the assumed public offering price per share. After this offering, we will also have outstanding options to purchase shares of our common stock. To the extent these outstanding options are exercised, there will be further dilution to investors in this offering. See the section titled “Dilution” for additional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equity securities at prices that may not be the same as the price per share of common stock in this offering. We may sell shares of common stock or other equity securities in any other offering at a price per share that is less than the price per share paid by investors in this offering, and investors purchasing common stock or other securities in the future could have rights superior to existing shareholders. The price per share of common stock at which we sell additional shares of common stock, or convertible securities or other equity securities, in future transactions may be higher or lower than the price per share paid by investors in this offering.</w:t>
      </w:r>
    </w:p>
    <w:p>
      <w:pPr>
        <w:spacing w:after="0" w:line="7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for a period of 90 days following this offering, we, and, for a period of 75 days following this offering, our directors and executive officers, and certain of our significant shareholders, have entered into lock-up agreements, subject to certain exceptions. See the section titled “Underwriting” for additional information. We and our directors and executive officers, and certain of our significant shareholders, may be released from such lock-up agreements prior to the expiration of the applicable lock-up period at the sole discretion of J.P. Morgan Securities LLC and Jefferies LLC. Upon expiration or earlier release of the lock-up, we and our directors, executive officers and certain of their affiliates may sell shares into the market, which could adversely affect the market price of shares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sectPr>
      </w:pPr>
    </w:p>
    <w:bookmarkStart w:id="14" w:name="page15"/>
    <w:bookmarkEnd w:id="14"/>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our shareholders.</w:t>
      </w:r>
    </w:p>
    <w:p>
      <w:pPr>
        <w:spacing w:after="0" w:line="121" w:lineRule="exact"/>
        <w:rPr>
          <w:sz w:val="20"/>
          <w:szCs w:val="20"/>
          <w:color w:val="auto"/>
        </w:rPr>
      </w:pPr>
    </w:p>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wide fluctuations in response to various factors, some of which are beyond our control, including limited trading volume. The market price for our common stock may be influenced by those factors discussed in this “Risk factors” section and many others, some of which may include:</w:t>
      </w:r>
    </w:p>
    <w:p>
      <w:pPr>
        <w:spacing w:after="0" w:line="68" w:lineRule="exact"/>
        <w:rPr>
          <w:sz w:val="20"/>
          <w:szCs w:val="20"/>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for our current or future product candidates;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and research programs;</w:t>
      </w:r>
    </w:p>
    <w:p>
      <w:pPr>
        <w:spacing w:after="0" w:line="117" w:lineRule="exact"/>
        <w:rPr>
          <w:rFonts w:ascii="Times New Roman" w:cs="Times New Roman" w:eastAsia="Times New Roman" w:hAnsi="Times New Roman"/>
          <w:sz w:val="18"/>
          <w:szCs w:val="18"/>
          <w:color w:val="auto"/>
        </w:rPr>
      </w:pPr>
    </w:p>
    <w:p>
      <w:pPr>
        <w:ind w:left="880" w:right="560" w:hanging="436"/>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any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80" w:right="420" w:hanging="436"/>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efforts and level of expenses related to any of our research programs, clinical development programs or current or future product candidates;</w:t>
      </w:r>
    </w:p>
    <w:p>
      <w:pPr>
        <w:spacing w:after="0" w:line="53" w:lineRule="exact"/>
        <w:rPr>
          <w:rFonts w:ascii="Times New Roman" w:cs="Times New Roman" w:eastAsia="Times New Roman" w:hAnsi="Times New Roman"/>
          <w:sz w:val="18"/>
          <w:szCs w:val="18"/>
          <w:color w:val="auto"/>
        </w:rPr>
      </w:pPr>
    </w:p>
    <w:p>
      <w:pPr>
        <w:ind w:left="880" w:right="100" w:hanging="436"/>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if any, that cover our stock;</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880" w:right="200" w:hanging="436"/>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ongoing geopolitical conflict in Ukraine and the Israel-Hamas war, tensions in U.S.-China relations, rising interest rates, inflation and potential tariffs; and</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20" w:firstLine="441"/>
        <w:spacing w:after="0" w:line="272" w:lineRule="auto"/>
        <w:rPr>
          <w:sz w:val="20"/>
          <w:szCs w:val="20"/>
          <w:color w:val="auto"/>
        </w:rPr>
      </w:pPr>
      <w:r>
        <w:rPr>
          <w:rFonts w:ascii="Times New Roman" w:cs="Times New Roman" w:eastAsia="Times New Roman" w:hAnsi="Times New Roman"/>
          <w:sz w:val="17"/>
          <w:szCs w:val="17"/>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 particular, in relation to uncertainty around inflation and the U.S. Federal Reserve’s measures to slow inflation, the stock market has been exceptionally volatile.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An active or liquid market in our common stock may not be sustained. The lack of an active market may impair the value of our stockholders’ shares, and our stockholders’ ability to sell their shares at the desired time and price. An inactive market may also impair our ability to raise capital by selling our common stock and our ability to enter into strategic collaborations or acquire other companies, products, or technologies by using our common stock as consideration.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5" w:name="page16"/>
    <w:bookmarkEnd w:id="15"/>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and sections in our Annual Report on Form 10-K for year ended December 31, 2024 and Quarterly Reports on Form 10-Q for the quarters ended March 31, 2025 and June 30, 2025,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84" w:lineRule="exact"/>
        <w:rPr>
          <w:sz w:val="20"/>
          <w:szCs w:val="20"/>
          <w:color w:val="auto"/>
        </w:rPr>
      </w:pPr>
    </w:p>
    <w:p>
      <w:pPr>
        <w:ind w:left="880" w:right="540" w:hanging="4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research and development programs, preclinical studies and clinical trials;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finalize the design or formulation of any product candidate;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platform to optimize pharmacokinetic and/or pharmacologic properties;</w:t>
      </w:r>
    </w:p>
    <w:p>
      <w:pPr>
        <w:spacing w:after="0" w:line="117" w:lineRule="exact"/>
        <w:rPr>
          <w:rFonts w:ascii="Times New Roman" w:cs="Times New Roman" w:eastAsia="Times New Roman" w:hAnsi="Times New Roman"/>
          <w:sz w:val="18"/>
          <w:szCs w:val="18"/>
          <w:color w:val="auto"/>
        </w:rPr>
      </w:pPr>
    </w:p>
    <w:p>
      <w:pPr>
        <w:ind w:left="880" w:right="640" w:hanging="4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identify and successfully complete any clinical studies, including the manufacture of any such product candidates;</w:t>
      </w:r>
    </w:p>
    <w:p>
      <w:pPr>
        <w:spacing w:after="0" w:line="53" w:lineRule="exact"/>
        <w:rPr>
          <w:rFonts w:ascii="Times New Roman" w:cs="Times New Roman" w:eastAsia="Times New Roman" w:hAnsi="Times New Roman"/>
          <w:sz w:val="18"/>
          <w:szCs w:val="18"/>
          <w:color w:val="auto"/>
        </w:rPr>
      </w:pPr>
    </w:p>
    <w:p>
      <w:pPr>
        <w:ind w:left="880" w:right="40" w:hanging="4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programs within our initial target indications and to progress additional programs to further develop our pipeline;</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internalize certain of our discovery capabilities;</w:t>
      </w:r>
    </w:p>
    <w:p>
      <w:pPr>
        <w:spacing w:after="0" w:line="117" w:lineRule="exact"/>
        <w:rPr>
          <w:rFonts w:ascii="Times New Roman" w:cs="Times New Roman" w:eastAsia="Times New Roman" w:hAnsi="Times New Roman"/>
          <w:sz w:val="18"/>
          <w:szCs w:val="18"/>
          <w:color w:val="auto"/>
        </w:rPr>
      </w:pPr>
    </w:p>
    <w:p>
      <w:pPr>
        <w:ind w:left="880" w:right="120" w:hanging="4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certain diseases and conditions we intend to treat and the size of the market opportunity for our product candidates;</w:t>
      </w:r>
    </w:p>
    <w:p>
      <w:pPr>
        <w:spacing w:after="0" w:line="53" w:lineRule="exact"/>
        <w:rPr>
          <w:rFonts w:ascii="Times New Roman" w:cs="Times New Roman" w:eastAsia="Times New Roman" w:hAnsi="Times New Roman"/>
          <w:sz w:val="18"/>
          <w:szCs w:val="18"/>
          <w:color w:val="auto"/>
        </w:rPr>
      </w:pPr>
    </w:p>
    <w:p>
      <w:pPr>
        <w:ind w:left="880" w:right="100" w:hanging="4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number of patients with certain diseases and conditions we intend to treat and the number of patients that we will enroll in our clinical trials;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investigational new drug applications submissions;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announcement of interim and final results from clinical trials;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expenses and capital expenditure requirements;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programs and technology;</w:t>
      </w:r>
    </w:p>
    <w:p>
      <w:pPr>
        <w:spacing w:after="0" w:line="117" w:lineRule="exact"/>
        <w:rPr>
          <w:rFonts w:ascii="Times New Roman" w:cs="Times New Roman" w:eastAsia="Times New Roman" w:hAnsi="Times New Roman"/>
          <w:sz w:val="18"/>
          <w:szCs w:val="18"/>
          <w:color w:val="auto"/>
        </w:rPr>
      </w:pPr>
    </w:p>
    <w:p>
      <w:pPr>
        <w:ind w:left="880" w:right="180" w:hanging="4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technology and platform;</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880" w:right="560" w:hanging="4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clinical, regulatory, and manufacturing advancements to accelerate our clinical trials and approval of product candidates;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regulatory standards with respect to our product candidates, if approved;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technology and platform;</w:t>
      </w:r>
    </w:p>
    <w:p>
      <w:pPr>
        <w:spacing w:after="0" w:line="11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other geopolitical developments in the United States and foreign countries and their potential impacts, if any, on the Company;</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6" w:name="page17"/>
    <w:bookmarkEnd w:id="16"/>
    <w:p>
      <w:pPr>
        <w:ind w:left="880" w:right="140" w:hanging="436"/>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or a smaller reporting company;</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 and</w:t>
      </w:r>
    </w:p>
    <w:p>
      <w:pPr>
        <w:spacing w:after="0" w:line="117" w:lineRule="exact"/>
        <w:rPr>
          <w:rFonts w:ascii="Times New Roman" w:cs="Times New Roman" w:eastAsia="Times New Roman" w:hAnsi="Times New Roman"/>
          <w:sz w:val="18"/>
          <w:szCs w:val="18"/>
          <w:color w:val="auto"/>
        </w:rPr>
      </w:pPr>
    </w:p>
    <w:p>
      <w:pPr>
        <w:ind w:left="880" w:right="100" w:hanging="436"/>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cash, cash equivalents and marketable securities, including the proceeds from this offering, our financial performance, estimates of our expenses, capital requirements, and need for additional financing.</w:t>
      </w:r>
    </w:p>
    <w:p>
      <w:pPr>
        <w:spacing w:after="0" w:line="16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in this prospectus and other documents incorporated by reference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are incorporated by reference in this prospectus, completely and with the understanding that our actual future results may be materially different from any future results expressed or implied by these forward-looking statements.</w:t>
      </w:r>
    </w:p>
    <w:p>
      <w:pPr>
        <w:spacing w:after="0" w:line="192"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3"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This prospectus also contains or incorporates by reference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entitled “Risk Factors” and elsewhere in this prospectus.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323" w:right="1119" w:bottom="1440" w:gutter="0" w:footer="0" w:header="0"/>
        </w:sectPr>
      </w:pPr>
    </w:p>
    <w:bookmarkStart w:id="17" w:name="page18"/>
    <w:bookmarkEnd w:id="17"/>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to us from the sale of 10,000,000 shares of our common stock in this offering will be approximately $92.6 million, or approximately $106.5 million if the underwriters exercise in full their option to purchase additional shares, based on the assumed public offering price of $10.00 per share, which is the last reported sale price of our common stock as reported on Nasdaq on September 19, 2025, and after estimated deducting underwriting discounts and commissions and estimated offering expenses payable by us.</w:t>
      </w:r>
    </w:p>
    <w:p>
      <w:pPr>
        <w:spacing w:after="0" w:line="183"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As of June 30, 2025, we had cash, cash equivalents and marketable securities of $224.9 million. We currently intend to use the net proceeds from this offering, together with our existing cash and cash equivalents and marketable securities, as follows:</w:t>
      </w:r>
    </w:p>
    <w:p>
      <w:pPr>
        <w:spacing w:after="0" w:line="54" w:lineRule="exact"/>
        <w:rPr>
          <w:sz w:val="20"/>
          <w:szCs w:val="20"/>
          <w:color w:val="auto"/>
        </w:rPr>
      </w:pPr>
    </w:p>
    <w:p>
      <w:pPr>
        <w:ind w:left="880" w:right="100" w:hanging="436"/>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$248.0 million to advance development of our three clinical-stage programs, canvuparatide through Phase 3 topline data, imapextide through Phase 2a topline data and MBX 4291 through Phase 1 topline data; and</w:t>
      </w:r>
    </w:p>
    <w:p>
      <w:pPr>
        <w:spacing w:after="0" w:line="53" w:lineRule="exact"/>
        <w:rPr>
          <w:rFonts w:ascii="Times New Roman" w:cs="Times New Roman" w:eastAsia="Times New Roman" w:hAnsi="Times New Roman"/>
          <w:sz w:val="18"/>
          <w:szCs w:val="18"/>
          <w:color w:val="auto"/>
        </w:rPr>
      </w:pPr>
    </w:p>
    <w:p>
      <w:pPr>
        <w:ind w:left="880" w:right="400" w:hanging="436"/>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fund our discovery research and development activities and additional clinical development, and for general corporate purposes, working capital and capital expenditures.</w:t>
      </w:r>
    </w:p>
    <w:p>
      <w:pPr>
        <w:spacing w:after="0" w:line="16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We may also use a portion of the remaining net proceeds and our existing cash, cash equivalents and marketable securities to in-license, acquire, or invest in complementary businesses, technologies, products or assets. However, we have no current commitments or obligations to do so.</w:t>
      </w:r>
    </w:p>
    <w:p>
      <w:pPr>
        <w:spacing w:after="0" w:line="176"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Based on our current plans, we believe our existing cash and cash equivalents and marketable securities, together with the net proceeds from this offering, based on the assumed public offering price of $10.00 per share, will be sufficient to fund our operations and capital expenditure requirements at least into the first half of 2028.</w:t>
      </w:r>
    </w:p>
    <w:p>
      <w:pPr>
        <w:spacing w:after="0" w:line="176"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have multiple programs in preclinical and clinical development, including one product candidate that has reported topline results from a Phase 2 trial, one product candidate for which a Phase 1 trial was initiated in September 2025 and one product candidate for which a Phase 2a trial is expected to initiate in the third quarter of 2025. The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research and development, the status of and results from preclinical studies or clinical trials, as well as any collaborations that we may enter into with third parties for our product candidates or strategic opportunities that become available to us, and any unforeseen cash needs. As a result, our management will retain broad discretion over the allocation of the net proceeds from this offering. We expect the net proceeds from this offering, together with our existing cash and cash equivalents, and short-term investments, will not be sufficient for us to advance any of our programs through regulatory approval, and we will need to raise additional capital to complete the development and potential commercialization of any of our programs.</w:t>
      </w:r>
    </w:p>
    <w:p>
      <w:pPr>
        <w:spacing w:after="0" w:line="187" w:lineRule="exact"/>
        <w:rPr>
          <w:sz w:val="20"/>
          <w:szCs w:val="20"/>
          <w:color w:val="auto"/>
        </w:rPr>
      </w:pPr>
    </w:p>
    <w:p>
      <w:pPr>
        <w:ind w:right="720" w:firstLine="441"/>
        <w:spacing w:after="0" w:line="312" w:lineRule="auto"/>
        <w:rPr>
          <w:sz w:val="20"/>
          <w:szCs w:val="20"/>
          <w:color w:val="auto"/>
        </w:rPr>
      </w:pPr>
      <w:r>
        <w:rPr>
          <w:rFonts w:ascii="Times New Roman" w:cs="Times New Roman" w:eastAsia="Times New Roman" w:hAnsi="Times New Roman"/>
          <w:sz w:val="17"/>
          <w:szCs w:val="17"/>
          <w:color w:val="auto"/>
        </w:rPr>
        <w:t>Pending our use of proceeds from this offering, we intend to invest the net proceeds in a variety of capital preservation instruments, including short-term, investment-grade, interest-bearing instruments and U.S. government securities.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440" w:right="111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 Any future determination to pay dividends will be at the discretion of our board of directors and will depend on our results of operations, financial condition, capital requirements and other factors deemed relevant by our board of directors.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1211" w:right="117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and capitalization as of June 30, 2025:</w:t>
      </w:r>
    </w:p>
    <w:p>
      <w:pPr>
        <w:spacing w:after="0" w:line="117" w:lineRule="exact"/>
        <w:rPr>
          <w:sz w:val="20"/>
          <w:szCs w:val="20"/>
          <w:color w:val="auto"/>
        </w:rPr>
      </w:pPr>
    </w:p>
    <w:p>
      <w:pPr>
        <w:ind w:left="880" w:hanging="436"/>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17" w:lineRule="exact"/>
        <w:rPr>
          <w:rFonts w:ascii="Times New Roman" w:cs="Times New Roman" w:eastAsia="Times New Roman" w:hAnsi="Times New Roman"/>
          <w:sz w:val="18"/>
          <w:szCs w:val="18"/>
          <w:color w:val="auto"/>
        </w:rPr>
      </w:pPr>
    </w:p>
    <w:p>
      <w:pPr>
        <w:ind w:left="880" w:right="20" w:hanging="436"/>
        <w:spacing w:after="0" w:line="261"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adjusted basis to give effect to our issuance and sale of 10,000,000 shares of our common stock in this offering at an assumed public offering price of $10.00 per share, the last reported sale price of our common stock on Nasdaq on September 19, 2025, after deducting the estimated underwriting discounts and commissions and estimated offering expenses payable by us.</w:t>
      </w:r>
    </w:p>
    <w:p>
      <w:pPr>
        <w:spacing w:after="0" w:line="180" w:lineRule="exact"/>
        <w:rPr>
          <w:sz w:val="20"/>
          <w:szCs w:val="20"/>
          <w:color w:val="auto"/>
        </w:rPr>
      </w:pPr>
    </w:p>
    <w:p>
      <w:pPr>
        <w:ind w:right="40" w:firstLine="441"/>
        <w:spacing w:after="0" w:line="274" w:lineRule="auto"/>
        <w:rPr>
          <w:sz w:val="20"/>
          <w:szCs w:val="20"/>
          <w:color w:val="auto"/>
        </w:rPr>
      </w:pPr>
      <w:r>
        <w:rPr>
          <w:rFonts w:ascii="Times New Roman" w:cs="Times New Roman" w:eastAsia="Times New Roman" w:hAnsi="Times New Roman"/>
          <w:sz w:val="17"/>
          <w:szCs w:val="17"/>
          <w:color w:val="auto"/>
        </w:rPr>
        <w:t>The as adjusted information below is illustrative only, and our cash, cash equivalents and marketable securities and capitalization following the closing of this offering will be adjusted based on the actual public offering price and other terms of this offering determined at pricing. You should read this information in conjunction with our financial statements and related notes and the section titled “Management’s Discussion and Analysis of Financial Condition and Results of Operations” incorporated by reference in this prospectus from our Annual Report on Form 10-K for the year ended December 31, 2024 and our Quarterly Report on Form 10-Q for the quarter ended June 30, 2025 and other financial information contained and incorporated by reference in this prospectus.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June 30, 2025</w:t>
            </w:r>
          </w:p>
        </w:tc>
      </w:tr>
      <w:tr>
        <w:trPr>
          <w:trHeight w:val="189"/>
        </w:trPr>
        <w:tc>
          <w:tcPr>
            <w:tcW w:w="6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2"/>
              <w:spacing w:after="0" w:line="189" w:lineRule="exact"/>
              <w:rPr>
                <w:sz w:val="20"/>
                <w:szCs w:val="20"/>
                <w:color w:val="auto"/>
              </w:rPr>
            </w:pPr>
            <w:r>
              <w:rPr>
                <w:rFonts w:ascii="Times New Roman" w:cs="Times New Roman" w:eastAsia="Times New Roman" w:hAnsi="Times New Roman"/>
                <w:sz w:val="14"/>
                <w:szCs w:val="14"/>
                <w:b w:val="1"/>
                <w:bCs w:val="1"/>
                <w:color w:val="auto"/>
                <w:w w:val="95"/>
              </w:rPr>
              <w:t>As Adjusted</w:t>
            </w:r>
            <w:r>
              <w:rPr>
                <w:rFonts w:ascii="Times New Roman" w:cs="Times New Roman" w:eastAsia="Times New Roman" w:hAnsi="Times New Roman"/>
                <w:sz w:val="19"/>
                <w:szCs w:val="19"/>
                <w:b w:val="1"/>
                <w:bCs w:val="1"/>
                <w:color w:val="auto"/>
                <w:w w:val="95"/>
                <w:vertAlign w:val="superscript"/>
              </w:rPr>
              <w:t>(1)</w:t>
            </w:r>
          </w:p>
        </w:tc>
        <w:tc>
          <w:tcPr>
            <w:tcW w:w="100" w:type="dxa"/>
            <w:vAlign w:val="bottom"/>
          </w:tcPr>
          <w:p>
            <w:pPr>
              <w:spacing w:after="0"/>
              <w:rPr>
                <w:sz w:val="16"/>
                <w:szCs w:val="16"/>
                <w:color w:val="auto"/>
              </w:rPr>
            </w:pPr>
          </w:p>
        </w:tc>
      </w:tr>
      <w:tr>
        <w:trPr>
          <w:trHeight w:val="117"/>
        </w:trPr>
        <w:tc>
          <w:tcPr>
            <w:tcW w:w="6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580" w:type="dxa"/>
            <w:vAlign w:val="bottom"/>
            <w:gridSpan w:val="4"/>
          </w:tcPr>
          <w:p>
            <w:pPr>
              <w:jc w:val="right"/>
              <w:ind w:right="432"/>
              <w:spacing w:after="0" w:line="118" w:lineRule="exact"/>
              <w:rPr>
                <w:sz w:val="20"/>
                <w:szCs w:val="20"/>
                <w:color w:val="auto"/>
              </w:rPr>
            </w:pPr>
            <w:r>
              <w:rPr>
                <w:rFonts w:ascii="Times New Roman" w:cs="Times New Roman" w:eastAsia="Times New Roman" w:hAnsi="Times New Roman"/>
                <w:sz w:val="13"/>
                <w:szCs w:val="13"/>
                <w:b w:val="1"/>
                <w:bCs w:val="1"/>
                <w:color w:val="auto"/>
              </w:rPr>
              <w:t>except par value</w:t>
            </w:r>
          </w:p>
        </w:tc>
        <w:tc>
          <w:tcPr>
            <w:tcW w:w="100" w:type="dxa"/>
            <w:vAlign w:val="bottom"/>
          </w:tcPr>
          <w:p>
            <w:pPr>
              <w:spacing w:after="0"/>
              <w:rPr>
                <w:sz w:val="10"/>
                <w:szCs w:val="10"/>
                <w:color w:val="auto"/>
              </w:rPr>
            </w:pPr>
          </w:p>
        </w:tc>
      </w:tr>
      <w:tr>
        <w:trPr>
          <w:trHeight w:val="148"/>
        </w:trPr>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share data)</w:t>
            </w:r>
          </w:p>
        </w:tc>
      </w:tr>
      <w:tr>
        <w:trPr>
          <w:trHeight w:val="173"/>
        </w:trPr>
        <w:tc>
          <w:tcPr>
            <w:tcW w:w="6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4"/>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224,906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317,456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6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33,592,226 shares</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issued and outstanding, actual; 500,000,000 shares authorized, 43,592,226 shares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issued and outstanding, as adjusted</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492,568</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(180,796)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(180,796)</w:t>
            </w: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0"/>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219,239</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311,789</w:t>
            </w:r>
          </w:p>
        </w:tc>
        <w:tc>
          <w:tcPr>
            <w:tcW w:w="100" w:type="dxa"/>
            <w:vAlign w:val="bottom"/>
            <w:shd w:val="clear" w:color="auto" w:fill="CFF0FC"/>
          </w:tcPr>
          <w:p>
            <w:pPr>
              <w:spacing w:after="0"/>
              <w:rPr>
                <w:sz w:val="18"/>
                <w:szCs w:val="18"/>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capitalization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219,239</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311,789</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-1807845</wp:posOffset>
            </wp:positionV>
            <wp:extent cx="1868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6" w:lineRule="exact"/>
        <w:rPr>
          <w:sz w:val="20"/>
          <w:szCs w:val="20"/>
          <w:color w:val="auto"/>
        </w:rPr>
      </w:pPr>
    </w:p>
    <w:p>
      <w:pPr>
        <w:ind w:left="440" w:right="80" w:hanging="436"/>
        <w:spacing w:after="0" w:line="228" w:lineRule="auto"/>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in the assumed public offering price of 10.00 per share, the last reported sale price of our common stock on Nasdaq on September 19, 2025, would increase or decrease, as applicable, the as adjusted amount of each of our cash, cash equivalents and marketable securities, additional paid-in capital, total stockholders’ equity and total capitalization by approximately $9.3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public offering price of $10.00 per share would increase or decrease, as applicable, the as adjusted amount of each of our cash, cash equivalents and marketable securities, additional paid-in capital, total stockholders’ equity and total capitalization by approximately $9.3 million, after deducting the estimated underwriting discounts and commissions and estimated offering expenses payable by us.</w:t>
      </w:r>
    </w:p>
    <w:p>
      <w:pPr>
        <w:spacing w:after="0" w:line="185"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If the underwriters’ option to purchase additional shares is exercised in full, our as adjusted cash, cash equivalents and marketable securities, additional paid-in capital, total stockholders’ equity, and total capitalization as of June 30, 2025, would increase by approximately $14.0 million.</w:t>
      </w:r>
    </w:p>
    <w:p>
      <w:pPr>
        <w:spacing w:after="0" w:line="176"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outstanding after this offering is based on 33,592,226 shares of our common stock (which includes 5,077 shares underlying unvested restricted stock awards subject to a repurchase option by us) outstanding as of June 30, 2025, and excludes:</w:t>
      </w:r>
    </w:p>
    <w:p>
      <w:pPr>
        <w:spacing w:after="0" w:line="68" w:lineRule="exact"/>
        <w:rPr>
          <w:sz w:val="20"/>
          <w:szCs w:val="20"/>
          <w:color w:val="auto"/>
        </w:rPr>
      </w:pPr>
    </w:p>
    <w:p>
      <w:pPr>
        <w:ind w:left="880" w:right="340" w:hanging="436"/>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2,702,705 shares of common stock issuable upon the exercise of stock options outstanding as of June 30, 2025, with a weighted-average exercise price of $7.18 per share under our 2019 Plan;</w:t>
      </w:r>
    </w:p>
    <w:p>
      <w:pPr>
        <w:spacing w:after="0" w:line="53" w:lineRule="exact"/>
        <w:rPr>
          <w:rFonts w:ascii="Times New Roman" w:cs="Times New Roman" w:eastAsia="Times New Roman" w:hAnsi="Times New Roman"/>
          <w:sz w:val="18"/>
          <w:szCs w:val="18"/>
          <w:color w:val="auto"/>
        </w:rPr>
      </w:pPr>
    </w:p>
    <w:p>
      <w:pPr>
        <w:ind w:left="880" w:right="340" w:hanging="436"/>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1,640,484 shares of common stock issuable upon the exercise of stock options outstanding as of June 30, 2025, with a weighted-average exercise price of $12.29 per share under our 2024 Plan;</w:t>
      </w:r>
    </w:p>
    <w:p>
      <w:pPr>
        <w:spacing w:after="0" w:line="53" w:lineRule="exact"/>
        <w:rPr>
          <w:rFonts w:ascii="Times New Roman" w:cs="Times New Roman" w:eastAsia="Times New Roman" w:hAnsi="Times New Roman"/>
          <w:sz w:val="18"/>
          <w:szCs w:val="18"/>
          <w:color w:val="auto"/>
        </w:rPr>
      </w:pPr>
    </w:p>
    <w:p>
      <w:pPr>
        <w:ind w:left="880" w:right="40" w:hanging="436"/>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286,800 shares of common stock issuable upon the exercise of stock options granted after June 30, 2025, with a weighted-average exercise price of $11.74 per share under the 2024 Plan;</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3,262,879 shares of common stock reserved for issuance under the 2024 Plan as of June 30, 2025;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623,651 shares of common stock reserved for future issuance under our 2024 ESPP as of June 30,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and substantially diluted to the extent of the difference between the public offering price per share and the as adjusted net tangible book value per share of our common stock immediately after this offering.</w:t>
      </w:r>
    </w:p>
    <w:p>
      <w:pPr>
        <w:spacing w:after="0" w:line="176" w:lineRule="exact"/>
        <w:rPr>
          <w:sz w:val="20"/>
          <w:szCs w:val="20"/>
          <w:color w:val="auto"/>
        </w:rPr>
      </w:pPr>
    </w:p>
    <w:p>
      <w:pPr>
        <w:ind w:right="160" w:firstLine="441"/>
        <w:spacing w:after="0" w:line="289" w:lineRule="auto"/>
        <w:rPr>
          <w:sz w:val="20"/>
          <w:szCs w:val="20"/>
          <w:color w:val="auto"/>
        </w:rPr>
      </w:pPr>
      <w:r>
        <w:rPr>
          <w:rFonts w:ascii="Times New Roman" w:cs="Times New Roman" w:eastAsia="Times New Roman" w:hAnsi="Times New Roman"/>
          <w:sz w:val="17"/>
          <w:szCs w:val="17"/>
          <w:color w:val="auto"/>
        </w:rPr>
        <w:t>As of June 30, 2025, our historical net tangible book value was $219.2 million, or $6.53 per share of our common stock, based on 33,592,226 shares of common stock issued and outstanding as of such date. Our historical net tangible book value per share represents total tangible assets less total liabilities, divided by the number of shares of common stock outstanding at June 30, 2025.</w:t>
      </w:r>
    </w:p>
    <w:p>
      <w:pPr>
        <w:spacing w:after="0" w:line="15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After giving effect to the sale and issuance of 10,000,000 shares of our common stock by us in this offering at an assumed public offering price of $10.00 per share, the last reported sale price of our common stock on Nasdaq on September 19, 2025, and after deducting the estimated underwriting discounts and commissions and estimated offering expenses payable by us, our as adjusted net tangible book value as of June 30, 2025 would have been approximately $311.8 million, or approximately $7.15 per share. This amount represents an immediate increase in as adjusted net tangible book value of approximately $0.62 per share to our existing stockholders and an immediate dilution in as adjusted net tangible book value of approximately $2.85 per share to new investors purchasing shares of common stock in this offering.</w:t>
      </w:r>
    </w:p>
    <w:p>
      <w:pPr>
        <w:spacing w:after="0" w:line="18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as adjusted net tangible book value per share after this offering from the public offering price per share paid by new investors. The following table illustrates this dilution (without giving effect to any exercise by the underwriters of their option to purchase additional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7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2025</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6.53</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0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Increase in as adjusted net tangible book value per share attributable to new investors</w:t>
            </w:r>
          </w:p>
        </w:tc>
        <w:tc>
          <w:tcPr>
            <w:tcW w:w="7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participating in this offering</w:t>
            </w:r>
          </w:p>
        </w:tc>
        <w:tc>
          <w:tcPr>
            <w:tcW w:w="74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0.62</w:t>
            </w: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7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7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19"/>
                <w:szCs w:val="19"/>
                <w:color w:val="auto"/>
              </w:rPr>
            </w:pP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Each $1.00 increase in the assumed public offering price of $10.00 per share, the last reported sale price of our common stock on Nasdaq on September 19, 2025, would increase the as adjusted net tangible book value per share after this offering by approximately $0.22 per share, and dilution in as adjusted net tangible book value per share to new investors by approximately $0.78 per share, assuming that the number of shares offered by us, as set forth on the cover page of this prospectus, remains the same and after deducting the estimated underwriting discounts and commissions and the estimated offering expenses payable by us. Each $1.00 decrease in the assumed public offering price of $10.00 per share, the last reported sale price of our common stock on Nasdaq on September 19, 2025, would decrease the as adjusted net tangible book value per share after this offering by approximately $0.21 per share, and dilution in as adjusted net tangible book value per share to new investors by approximately $0.79 per share, assuming that the number of shares offered by us, as set forth on the cover page of this prospectus, remains the same and after deducting the estimated underwriting discounts and commissions and the estimated offering expenses payable by us. Each increase or decrease of</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1.0 million shares in the number of shares of common stock offered by us would increase or decrease, as applicable, our as adjusted net tangible book value per share after this offering by approximately $0.05 per share and increase or decrease, as applicable, the dilution to investors participating in this offering by approximately $0.05 per share, assuming that the assumed public offering price of $10.00 per share remains the same, and after deducting the estimated underwriting discounts and commissions and the estimated offering expenses payable by us.</w:t>
      </w:r>
    </w:p>
    <w:p>
      <w:pPr>
        <w:spacing w:after="0" w:line="187"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in this offering, the as adjusted net tangible book value after the offering would be approximately $7.22 per share, the increase in as adjusted net tangible book value per share to existing stockholders would be approximately $0.07 per share and the dilution per share to investors in this offering would be $2.78 per share, in each case assuming a public offering price of $10.00 per share, the last reported sale price of our common stock on Nasdaq on September 19, 2025.</w:t>
      </w:r>
    </w:p>
    <w:p>
      <w:pPr>
        <w:spacing w:after="0" w:line="183"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The dilution information above is for illustration purposes only. Our as adjusted net tangible book value following the closing of this offering will depend on the actual public offering price and other terms of this offering determined at pricing.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sectPr>
      </w:pPr>
    </w:p>
    <w:bookmarkStart w:id="21" w:name="page22"/>
    <w:bookmarkEnd w:id="21"/>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(other than the historical net tangible book value calculations) are based on 33,592,226 shares of our common stock outstanding as of June 30, 2025, and excludes:</w:t>
      </w:r>
    </w:p>
    <w:p>
      <w:pPr>
        <w:spacing w:after="0" w:line="54" w:lineRule="exact"/>
        <w:rPr>
          <w:sz w:val="20"/>
          <w:szCs w:val="20"/>
          <w:color w:val="auto"/>
        </w:rPr>
      </w:pPr>
    </w:p>
    <w:p>
      <w:pPr>
        <w:ind w:left="880" w:right="300" w:hanging="436"/>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2,702,705 shares of common stock issuable upon the exercise of stock options outstanding as of June 30, 2025, with a weighted-average exercise price of $7.18 per share under our 2019 Plan;</w:t>
      </w:r>
    </w:p>
    <w:p>
      <w:pPr>
        <w:spacing w:after="0" w:line="53" w:lineRule="exact"/>
        <w:rPr>
          <w:rFonts w:ascii="Times New Roman" w:cs="Times New Roman" w:eastAsia="Times New Roman" w:hAnsi="Times New Roman"/>
          <w:sz w:val="18"/>
          <w:szCs w:val="18"/>
          <w:color w:val="auto"/>
        </w:rPr>
      </w:pPr>
    </w:p>
    <w:p>
      <w:pPr>
        <w:ind w:left="880" w:right="300" w:hanging="436"/>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1,640,484 shares of common stock issuable upon the exercise of stock options outstanding as of June 30, 2025, with a weighted-average exercise price of $12.29 per share under our 2024 Plan;</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286,800 shares of common stock issuable upon the exercise of stock options granted after June 30, 2025, with a weighted-average exercise price of $11.74 per share under the 2024 Plan;</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3,262,879 shares of common stock reserved for issuance under the 2024 Plan as of June 30, 2025;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623,651 shares of common stock reserved for future issuance under our 2024 ESPP as of June 30, 2025.</w:t>
      </w:r>
    </w:p>
    <w:p>
      <w:pPr>
        <w:spacing w:after="0" w:line="225" w:lineRule="exact"/>
        <w:rPr>
          <w:sz w:val="20"/>
          <w:szCs w:val="20"/>
          <w:color w:val="auto"/>
        </w:rPr>
      </w:pPr>
    </w:p>
    <w:p>
      <w:pPr>
        <w:jc w:val="both"/>
        <w:ind w:right="140" w:firstLine="441"/>
        <w:spacing w:after="0" w:line="266" w:lineRule="auto"/>
        <w:rPr>
          <w:sz w:val="20"/>
          <w:szCs w:val="20"/>
          <w:color w:val="auto"/>
        </w:rPr>
      </w:pPr>
      <w:r>
        <w:rPr>
          <w:rFonts w:ascii="Times New Roman" w:cs="Times New Roman" w:eastAsia="Times New Roman" w:hAnsi="Times New Roman"/>
          <w:sz w:val="18"/>
          <w:szCs w:val="18"/>
          <w:color w:val="auto"/>
        </w:rPr>
        <w:t>To the extent any outstanding options are exercised, new options or other equity awards are issued under our equity incentive plans, or we issue additional equity or convertible securities in the future, there will be further dilution to new investors participating in this offering.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431" w:right="11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to the extent known by us or ascertainable from public filings, information regarding the beneficial ownership of our common stock as of August 31, 2025 by:</w:t>
      </w:r>
    </w:p>
    <w:p>
      <w:pPr>
        <w:spacing w:after="0" w:line="54" w:lineRule="exact"/>
        <w:rPr>
          <w:sz w:val="20"/>
          <w:szCs w:val="20"/>
          <w:color w:val="auto"/>
        </w:rPr>
      </w:pPr>
    </w:p>
    <w:p>
      <w:pPr>
        <w:ind w:left="880" w:right="16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 the beneficial owner of five percent or more of our outstanding common stock (on an as-converted to common stock basis);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in the following table is calculated based on 33,607,443 shares of common stock outstanding as of August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August 31, 2025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Except as otherwise indicated in the table below, addresses of named beneficial owners are in care of MBX Biosciences, Inc., 11711 N. Meridian Street, Suite 300, Carmel, Indiana 46032.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 of Shares of Common Stock</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560" w:type="dxa"/>
            <w:vAlign w:val="bottom"/>
            <w:tcBorders>
              <w:bottom w:val="single" w:sz="8" w:color="auto"/>
            </w:tcBorders>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4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13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4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8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Frazier Life Sciences(1)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5,985,347</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OrbiMed Advisors LLC(2)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4,002,887</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11.91%</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New Enterprise Associates(3)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3,620,539</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Wellington Management Group LLP (4)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2,266,628</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Deep Track Biotechnology Master Fund, Ltd.(5)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2,188,592</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Norwest Venture Partners XVI, LP(6)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2,136,335</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 Kent Hawryluk(7)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1,993,250</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Richard Bartram(8)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237,123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Saloman Azoulay, M.D.(9)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95,370</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Tiba Aynechi, Ph.D.(10)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2,140,658</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M. Cornelius(11)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145,682</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Patrick J. Heron(12)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5,989,670</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L. Hoerter(13)</w:t>
            </w:r>
          </w:p>
        </w:tc>
        <w:tc>
          <w:tcPr>
            <w:tcW w:w="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Edward T. Mathers(14)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3,618,809</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Ora Pescovitz, M.D.(15)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Steven Ryder, M.D.(16)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persons)(17)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14,315,455</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40.75%</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440" w:hanging="436"/>
        <w:spacing w:after="0" w:line="258"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information in a Schedule 13G, as filed by Frazier Life Sciences Public Fund, L.P. with the SEC on August 20, 2025. Consists of (i) 4,552,774 shares of common stock held directly by Frazier Life Sciences X, L.P., or FLS X, (ii) 1,103,920 shares of common stock held directly by Frazier Life Sciences Public Fund, L.P., or FLS Public Fund, (iii) 325,653 shares of common stock held by Frazier Life Sciences Public Overage Fund, L.P., or FLS Overage Fund, and (iv) 3,000 shares of common stock held directly by Frazier Life Sciences XI, L.P., or FLS XI. FHMLS X, L.P. is the general partner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sectPr>
      </w:pPr>
    </w:p>
    <w:bookmarkStart w:id="23" w:name="page24"/>
    <w:bookmarkEnd w:id="23"/>
    <w:p>
      <w:pPr>
        <w:ind w:left="440" w:right="20"/>
        <w:spacing w:after="0" w:line="252" w:lineRule="auto"/>
        <w:rPr>
          <w:sz w:val="20"/>
          <w:szCs w:val="20"/>
          <w:color w:val="auto"/>
        </w:rPr>
      </w:pPr>
      <w:r>
        <w:rPr>
          <w:rFonts w:ascii="Times New Roman" w:cs="Times New Roman" w:eastAsia="Times New Roman" w:hAnsi="Times New Roman"/>
          <w:sz w:val="18"/>
          <w:szCs w:val="18"/>
          <w:color w:val="auto"/>
        </w:rPr>
        <w:t>of FLS X, and FHMLS X, L.L.C. is the general partner of FHMLS X, L.P. James Topper, M.D., Ph.D., and Patrick J. Heron are the sole managing members of FHMLS X, L.L.C. and share voting and investment power of the securities held by FLS X. FHMLS XI, L.P. is the general partner of FLS XI, and FHMLS XI, L.L.C. is the general partner of FHMLS XI, L.P. James Topper, M.D., Ph.D., and Daniel Estes are the sole managing members of FHMLS XI, L.L.C. and share voting and investment power of the securities held by FLS XI. Mr. Heron is a member of our board of directors. Dr. Topper, Mr. Estes and Mr. Heron disclaim beneficial ownership of such securities except to the extent of their pecuniary interest therein. FHMLSP, L.P. is the general partner of FLS Public Fund and FHMLSP, L.L.C. is the general partner of FHMLSP, L.P. Albert Cha, James N. Topper, Patrick J. Heron and James Brush are the managing directors of FHMLSP, L.L.C. and therefore share voting and investment power over the shares held by FLS Public Fund. Dr. Cha, Dr. Topper, Mr. Heron and Dr. Brush disclaim beneficial ownership of the shares held by FLS Public Fund except to the extent of their pecuniary interests in such shares, if any. FHMLSP Overage, L.P., is the general partner of FLS Overage Fund and FHMLSP Overage, L.L.C. is the general partner of FHMLSP Overage, L.P. Dr. Cha, Dr. Topper, Mr. Heron and Dr. Brush are the members of FHMLSP Overage, L.L.C. and therefore share voting and investment power over the shares held by FLS Overage Fund. Dr. Cha, Dr. Topper, Mr. Heron and Dr. Brush disclaim beneficial ownership of the shares held by FLS Overage Fund except to the extent of their pecuniary interests in such shares, if any. The address for above referenced entities and persons is 1001 Page Mill Rd., Building 4, Ste. B, Palo Alto, CA 94304.</w:t>
      </w:r>
    </w:p>
    <w:p>
      <w:pPr>
        <w:spacing w:after="0" w:line="88" w:lineRule="exact"/>
        <w:rPr>
          <w:sz w:val="20"/>
          <w:szCs w:val="20"/>
          <w:color w:val="auto"/>
        </w:rPr>
      </w:pPr>
    </w:p>
    <w:p>
      <w:pPr>
        <w:ind w:left="440" w:hanging="436"/>
        <w:spacing w:after="0" w:line="253"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information in a Form 4, as filed by OrbiMed Advisors LLC with the SEC on February 19, 2025. Consists of (i) 3,255,000 shares of common stock held by OrbiMed Private Investments VII, LP, or OPI VII, and (ii) 747,887 shares of common stock held by OrbiMed Genesis Master Fund, L.P, or Genesis Master Fund. OrbiMed Capital GP VII LLC, or OrbiMed GP VII, is the general partner of OPI VII. OrbiMed Genesis GP LLC, or Genesis GP, is the general partner of Genesis Master Fund. OrbiMed Advisors LLC, or OrbiMed Advisors, is the managing member of OrbiMed GP VII and Genesis GP. By virtue of such relationships, OrbiMed GP VII and OrbiMed Advisors may be deemed to have voting and investment power with respect to the shares held by OPI VII, and Genesis GP and OrbiMed Advisors may be deemed to have voting and investment power with respect to shares held by Genesis Master Fund. OrbiMed Advisors exercises investment and voting power through a management committee comprised of Carl L. Gordon, Sven H. Borho and W. Carter Neild. Each of OrbiMed GP VII, Genesis GP, OrbiMed Advisors, Mr. Borho, Mr. Neild, and Dr. Gordon disclaims beneficial ownership of the shares held by OPI VII and Genesis Master Fund, except to the extent of its or his pecuniary interest therein if any. The address for each of the entities and individuals identified in this footnote is c/o OrbiMed Advisors LLC, 601 Lexington Avenue 54th Floor, New York, NY 10022.</w:t>
      </w:r>
    </w:p>
    <w:p>
      <w:pPr>
        <w:spacing w:after="0" w:line="79" w:lineRule="exact"/>
        <w:rPr>
          <w:rFonts w:ascii="Times New Roman" w:cs="Times New Roman" w:eastAsia="Times New Roman" w:hAnsi="Times New Roman"/>
          <w:sz w:val="18"/>
          <w:szCs w:val="18"/>
          <w:color w:val="auto"/>
        </w:rPr>
      </w:pPr>
    </w:p>
    <w:p>
      <w:pPr>
        <w:ind w:left="440" w:hanging="436"/>
        <w:spacing w:after="0" w:line="253"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3,614,486 shares of common stock held by New Enterprise Associates 17, L.P., or NEA 17, and (ii) 6,053 shares of common stock held by NEA Ventures 2020, L.P., or NEA Ven 2020. The information reported for NEA 17 is based on information in a Schedule 13D, as filed by NEA 17 with the SEC on September 23, 2024 and the information reported regarding NEA Ven 2020 is based on Company Record. NEA Partners 17, L.P., or NEA Partners 17, is the sole general partner of NEA 17. NEA 17 GP, LLC, or NEA 17 LLC, is the sole general partner of NEA Partners 17. The securities directly held by NEA Ven 2020 are indirectly held by Karen Welsh, the general partner of NEA Ven 2020. Forest Baskett, Ali Behbahani, Carmen Chang, Anthony Florence, Jr., Mohamad Makhzoumi, Edward Mathers, Scott D. Sandell, Paul Walker, and Rick Yang are the managers of NEA 17 LLC. NEA 17, NEA Partners 17, NEA 17 LLC and the managers of NEA 17 LLC share voting and dispositive power with regard to the securities held by NEA 17. Mr. Mathers is a partner at New Enterprise Associates and member of our board of directors. Each of NEA 17, NEA Partners 17 and NEA 17 LLC as well as each of the managers of NEA 17 LLC disclaims beneficial ownership of all shares held by NEA 17 except to the extent of their actual pecuniary interest therein. NEA 17’s and NEA Ventures 2020, L.P.’s mailing address is 1954 Greenspring Drive, Suite 600, Timonium, MD 21093-4135.</w:t>
      </w:r>
    </w:p>
    <w:p>
      <w:pPr>
        <w:spacing w:after="0" w:line="81" w:lineRule="exact"/>
        <w:rPr>
          <w:rFonts w:ascii="Times New Roman" w:cs="Times New Roman" w:eastAsia="Times New Roman" w:hAnsi="Times New Roman"/>
          <w:sz w:val="18"/>
          <w:szCs w:val="18"/>
          <w:color w:val="auto"/>
        </w:rPr>
      </w:pPr>
    </w:p>
    <w:p>
      <w:pPr>
        <w:ind w:left="440" w:right="40" w:hanging="436"/>
        <w:spacing w:after="0" w:line="253"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information in a Schedule 13G, as filed by Wellington Management Group LLP with the SEC on August 12, 2025. Consists of 2,266,628 shares of common stock beneficially owned by Wellington Management Group LLP, Wellington Group Holdings LLP, Wellington Investment Advisors Holdings LLP and Wellington Management Company LLP, or collectively, the Wellington Entities. Wellington Management Group LLP, Wellington Group Holdings LLP and Wellington Investment Advisors Holdings LLP each have shared voting power with respect to 2,226,590 shares of common stock, and shared dispositive power with respect to 2,266,628 shares of common stock. Wellington Management Company LLP has shared voting power with respect to 2,224,487 shares of common stock and shared dispositive power with respect to 2,264,525 shares of common stock. Wellington Management Company LLP, a registered investment adviser under the Investment Advisers Act of 1940, as amended, is the investment adviser to Wellington Biomedical Fund, and Wellington Alternative Investments LLC is its general partner. Wellington Management Investment, Inc. is the managing member of Wellington Alternative Investments LLC. Wellington Management Company LLP is an indirect subsidiary of Wellington Management Group LLP. Additional information about Wellington Management Company LLP is available in its Form ADV filed with the SEC. The address of all of the Wellington entities is 280 Congress Street, Boston, MA 02210.</w:t>
      </w:r>
    </w:p>
    <w:p>
      <w:pPr>
        <w:spacing w:after="0" w:line="79" w:lineRule="exact"/>
        <w:rPr>
          <w:rFonts w:ascii="Times New Roman" w:cs="Times New Roman" w:eastAsia="Times New Roman" w:hAnsi="Times New Roman"/>
          <w:sz w:val="18"/>
          <w:szCs w:val="18"/>
          <w:color w:val="auto"/>
        </w:rPr>
      </w:pPr>
    </w:p>
    <w:p>
      <w:pPr>
        <w:ind w:left="440" w:right="40" w:hanging="436"/>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information in a Schedule 13G, as filed by Deep Track Capital, LP with the SEC on August 14, 2025. Consists of 2,188,592 shares of common stock held by Deep Track Biotechnology Master Fund, Ltd., or Deep Track Fund. Deep Track Capital, LP, or Deep Track Manager, is the investment manager of Deep Track Fund. Deep Track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3" w:right="1099" w:bottom="1440" w:gutter="0" w:footer="0" w:header="0"/>
        </w:sectPr>
      </w:pPr>
    </w:p>
    <w:bookmarkStart w:id="24" w:name="page25"/>
    <w:bookmarkEnd w:id="24"/>
    <w:p>
      <w:pPr>
        <w:ind w:left="436" w:right="260"/>
        <w:spacing w:after="0" w:line="266" w:lineRule="auto"/>
        <w:rPr>
          <w:sz w:val="20"/>
          <w:szCs w:val="20"/>
          <w:color w:val="auto"/>
        </w:rPr>
      </w:pPr>
      <w:r>
        <w:rPr>
          <w:rFonts w:ascii="Times New Roman" w:cs="Times New Roman" w:eastAsia="Times New Roman" w:hAnsi="Times New Roman"/>
          <w:sz w:val="18"/>
          <w:szCs w:val="18"/>
          <w:color w:val="auto"/>
        </w:rPr>
        <w:t>Capital GP, LLC, or Deep Track Partner, is the general partner of Deep Track Manager and David Kroin is the managing member of Deep Track Partner. The address of each of Deep Track Fund, Deep Track Manager, Deep Track Partner and Mr. Kroin is 200 Greenwich Ave, 3rd Floor, Greenwich, Connecticut 06830.</w:t>
      </w:r>
    </w:p>
    <w:p>
      <w:pPr>
        <w:spacing w:after="0" w:line="68" w:lineRule="exact"/>
        <w:rPr>
          <w:sz w:val="20"/>
          <w:szCs w:val="20"/>
          <w:color w:val="auto"/>
        </w:rPr>
      </w:pPr>
    </w:p>
    <w:p>
      <w:pPr>
        <w:ind w:left="436" w:right="40" w:hanging="436"/>
        <w:spacing w:after="0" w:line="254"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information in a Schedule 13D, as filed by Norwest Venture Partners XVI, LP, or NVP XVI, with the SEC on September 23, 2024. Consists of 2,136,335 shares of common stock held by NVP XVI. Genesis VC Partners XVI, LLC, or Genesis XVI, is the general partner of NVP XVI and NVP Associates, LLC, or NVP Associates, is the managing member of Genesis XVI. Genesis XVI, NVP Associates and Jeffrey Crowe and Jon E. Kossow, as co-chief executive officers of NVP Associates, and Tiba Aynechi, Ph.D., as an officer of NVP Associates and director of MBX Biosciences, may be deemed to share voting and dispositive power over the shares held by NVP XVI. Each of Genesis XVI, NVP Associates, Messrs. Crowe and Kossow and Dr. Aynechi disclaims beneficial ownership of the securities held by NVP XVI, except to the extent of its, his or her respective pecuniary interest therein. The address for each of these entities and individuals is 1300 El Camino Real, Suite 200, Menlo Park CA 94025.</w:t>
      </w:r>
    </w:p>
    <w:p>
      <w:pPr>
        <w:spacing w:after="0" w:line="80" w:lineRule="exact"/>
        <w:rPr>
          <w:rFonts w:ascii="Times New Roman" w:cs="Times New Roman" w:eastAsia="Times New Roman" w:hAnsi="Times New Roman"/>
          <w:sz w:val="18"/>
          <w:szCs w:val="18"/>
          <w:color w:val="auto"/>
        </w:rPr>
      </w:pPr>
    </w:p>
    <w:p>
      <w:pPr>
        <w:ind w:left="436" w:right="300" w:hanging="436"/>
        <w:spacing w:after="0" w:line="257"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448,277 shares of common stock outstanding held by the P. Kent Hawryluk Revocable Trust dated January 25, 2011, or the Hawryluk Trust, 478,148 shares of common stock outstanding held by Mr. Hawryluk, 3,249 shares of restricted stock outstanding issued pursuant to early exercise of stock options subject to continued vesting for Mr. Hawryluk and</w:t>
      </w:r>
    </w:p>
    <w:p>
      <w:pPr>
        <w:spacing w:after="0" w:line="1" w:lineRule="exact"/>
        <w:rPr>
          <w:rFonts w:ascii="Times New Roman" w:cs="Times New Roman" w:eastAsia="Times New Roman" w:hAnsi="Times New Roman"/>
          <w:sz w:val="18"/>
          <w:szCs w:val="18"/>
          <w:color w:val="auto"/>
        </w:rPr>
      </w:pPr>
    </w:p>
    <w:p>
      <w:pPr>
        <w:ind w:left="436"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1,063,576 shares of common stock underlying outstanding early exercise stock options that are immediately exercisable within 60 days of August 31, 2025. Mr. Hawryluk exercises voting and dispositive power over the shares beneficially owned by the Hawryluk Trust.</w:t>
      </w:r>
    </w:p>
    <w:p>
      <w:pPr>
        <w:spacing w:after="0" w:line="77" w:lineRule="exact"/>
        <w:rPr>
          <w:rFonts w:ascii="Times New Roman" w:cs="Times New Roman" w:eastAsia="Times New Roman" w:hAnsi="Times New Roman"/>
          <w:sz w:val="18"/>
          <w:szCs w:val="18"/>
          <w:color w:val="auto"/>
        </w:rPr>
      </w:pPr>
    </w:p>
    <w:p>
      <w:pPr>
        <w:ind w:left="436" w:right="760" w:hanging="436"/>
        <w:spacing w:after="0" w:line="282"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237,123 shares of common stock underlying outstanding early exercise stock options that are immediately exercisable within 60 days of August 31, 2025.</w:t>
      </w:r>
    </w:p>
    <w:p>
      <w:pPr>
        <w:spacing w:after="0" w:line="53" w:lineRule="exact"/>
        <w:rPr>
          <w:rFonts w:ascii="Times New Roman" w:cs="Times New Roman" w:eastAsia="Times New Roman" w:hAnsi="Times New Roman"/>
          <w:sz w:val="18"/>
          <w:szCs w:val="18"/>
          <w:color w:val="auto"/>
        </w:rPr>
      </w:pPr>
    </w:p>
    <w:p>
      <w:pPr>
        <w:ind w:left="436" w:right="300" w:hanging="436"/>
        <w:spacing w:after="0" w:line="282"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95,370 shares of common stock underlying outstanding stock options that are immediately exercisable within 60 days of August 31, 2025.</w:t>
      </w:r>
    </w:p>
    <w:p>
      <w:pPr>
        <w:spacing w:after="0" w:line="53" w:lineRule="exact"/>
        <w:rPr>
          <w:rFonts w:ascii="Times New Roman" w:cs="Times New Roman" w:eastAsia="Times New Roman" w:hAnsi="Times New Roman"/>
          <w:sz w:val="18"/>
          <w:szCs w:val="18"/>
          <w:color w:val="auto"/>
        </w:rPr>
      </w:pPr>
    </w:p>
    <w:p>
      <w:pPr>
        <w:ind w:left="436" w:right="60" w:hanging="436"/>
        <w:spacing w:after="0" w:line="266"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footnote (6) above and 4,323 shares of common stock underlying outstanding stock options that are immediately exercisable within 60 days of August 31, 2025. Dr. Aynechi disclaims beneficial ownership of such shares except to the extent of her pecuniary interest therein, if any.</w:t>
      </w:r>
    </w:p>
    <w:p>
      <w:pPr>
        <w:spacing w:after="0" w:line="67" w:lineRule="exact"/>
        <w:rPr>
          <w:rFonts w:ascii="Times New Roman" w:cs="Times New Roman" w:eastAsia="Times New Roman" w:hAnsi="Times New Roman"/>
          <w:sz w:val="18"/>
          <w:szCs w:val="18"/>
          <w:color w:val="auto"/>
        </w:rPr>
      </w:pPr>
    </w:p>
    <w:p>
      <w:pPr>
        <w:ind w:left="436" w:right="60" w:hanging="436"/>
        <w:spacing w:after="0" w:line="282"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102,082 shares of common stock held by Mr. Cornelius and 43,600 shares of common stock underlying outstanding early exercise stock options that are immediately exercisable within 60 days of August 31, 2025.</w:t>
      </w:r>
    </w:p>
    <w:p>
      <w:pPr>
        <w:spacing w:after="0" w:line="53" w:lineRule="exact"/>
        <w:rPr>
          <w:rFonts w:ascii="Times New Roman" w:cs="Times New Roman" w:eastAsia="Times New Roman" w:hAnsi="Times New Roman"/>
          <w:sz w:val="18"/>
          <w:szCs w:val="18"/>
          <w:color w:val="auto"/>
        </w:rPr>
      </w:pPr>
    </w:p>
    <w:p>
      <w:pPr>
        <w:jc w:val="both"/>
        <w:ind w:left="436" w:right="140" w:hanging="436"/>
        <w:spacing w:after="0" w:line="266"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footnote (1) above and 4,323 shares of common stock underlying outstanding stock options that are immediately exercisable within 60 days of August 31, 2025. Mr. Heron disclaims beneficial ownership of such shares except to the extent of his pecuniary interest therein, if any.</w:t>
      </w:r>
    </w:p>
    <w:p>
      <w:pPr>
        <w:spacing w:after="0" w:line="67"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Hoerter does not own any common stock outstanding or have stock options exercisable within 60 days of August 31, 2025.</w:t>
      </w:r>
    </w:p>
    <w:p>
      <w:pPr>
        <w:spacing w:after="0" w:line="117" w:lineRule="exact"/>
        <w:rPr>
          <w:rFonts w:ascii="Times New Roman" w:cs="Times New Roman" w:eastAsia="Times New Roman" w:hAnsi="Times New Roman"/>
          <w:sz w:val="18"/>
          <w:szCs w:val="18"/>
          <w:color w:val="auto"/>
        </w:rPr>
      </w:pPr>
    </w:p>
    <w:p>
      <w:pPr>
        <w:ind w:left="436" w:right="80" w:hanging="436"/>
        <w:spacing w:after="0" w:line="256"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by NEA 17 described under footnote (3) above, over which Mr. Mathers shares voting and dispositive power and 4,323 shares of common stock underlying outstanding stock options that are immediately exercisable within 60 days of August 31, 2025. Mr. Mathers, a member of our board of directors and a General Partner at New Enterprise Associates, Inc. has no voting or dispositive power with regard to any shares held by NEA Ventures. In addition, Mr. Mathers disclaims beneficial ownership of above-referenced shares held by entities affiliated with New Enterprise Associates, Inc. described in footnote (3) except to the extent of his actual pecuniary interest therein.</w:t>
      </w:r>
    </w:p>
    <w:p>
      <w:pPr>
        <w:spacing w:after="0" w:line="79" w:lineRule="exact"/>
        <w:rPr>
          <w:rFonts w:ascii="Times New Roman" w:cs="Times New Roman" w:eastAsia="Times New Roman" w:hAnsi="Times New Roman"/>
          <w:sz w:val="18"/>
          <w:szCs w:val="18"/>
          <w:color w:val="auto"/>
        </w:rPr>
      </w:pPr>
    </w:p>
    <w:p>
      <w:pPr>
        <w:ind w:left="436" w:right="220" w:hanging="436"/>
        <w:spacing w:after="0" w:line="261"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14,903 shares of common stock outstanding issued pursuant to early exercise of stock options, 1,733 shares of restricted stock outstanding issued pursuant to early exercise of stock options subject to continued vesting, 26,964 shares of common stock underlying outstanding early exercise stock options that are immediately exercisable within 60 days of August 31, 2025, and 7,693 shares of common stock purchased on April 8, 2025.</w:t>
      </w:r>
    </w:p>
    <w:p>
      <w:pPr>
        <w:spacing w:after="0" w:line="71" w:lineRule="exact"/>
        <w:rPr>
          <w:rFonts w:ascii="Times New Roman" w:cs="Times New Roman" w:eastAsia="Times New Roman" w:hAnsi="Times New Roman"/>
          <w:sz w:val="18"/>
          <w:szCs w:val="18"/>
          <w:color w:val="auto"/>
        </w:rPr>
      </w:pPr>
    </w:p>
    <w:p>
      <w:pPr>
        <w:ind w:left="436" w:hanging="436"/>
        <w:spacing w:after="0" w:line="282"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43,600 shares of common stock underlying outstanding early exercise stock options that are immediately exercisable within 60 days of August 31, 2025.</w:t>
      </w:r>
    </w:p>
    <w:p>
      <w:pPr>
        <w:spacing w:after="0" w:line="53" w:lineRule="exact"/>
        <w:rPr>
          <w:rFonts w:ascii="Times New Roman" w:cs="Times New Roman" w:eastAsia="Times New Roman" w:hAnsi="Times New Roman"/>
          <w:sz w:val="18"/>
          <w:szCs w:val="18"/>
          <w:color w:val="auto"/>
        </w:rPr>
      </w:pPr>
    </w:p>
    <w:p>
      <w:pPr>
        <w:ind w:left="436" w:right="120" w:hanging="436"/>
        <w:spacing w:after="0" w:line="266" w:lineRule="auto"/>
        <w:tabs>
          <w:tab w:leader="none" w:pos="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12,792,253 shares of common stock, of which a certain number are restricted stock subject to vesting as noted above and (ii) 1,523,202 shares of common stock underlying outstanding stock options that are immediately exercisable within 60 days of August 31, 2025.</w:t>
      </w:r>
    </w:p>
    <w:p>
      <w:pPr>
        <w:spacing w:after="0" w:line="17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484505</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96"/>
          </w:cols>
          <w:pgMar w:left="1084" w:top="1323" w:right="111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of our fourth amended and restated certificate of incorporation and amended and restated bylaws. We refer in this section to our fourth amended and restated certificate of incorporation as our certificate of incorporation, and we refer to our amended and restated bylaws as our bylaws.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par value $0.0001 per share, and 10,000,000 shares of preferred stock, par value $0.0001 per share, all of which shares of preferred stock are undesignated.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2025, 33,592,226 shares of our common stock were outstanding and held of record by 51 stockholders.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Only our common stock is registered under Section 12 of the Securities Exchange Act of 1934, as amended, or the Exchange Act. 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7" w:lineRule="exact"/>
        <w:rPr>
          <w:sz w:val="20"/>
          <w:szCs w:val="20"/>
          <w:color w:val="auto"/>
        </w:rPr>
      </w:pPr>
    </w:p>
    <w:p>
      <w:pPr>
        <w:ind w:right="80" w:firstLine="441"/>
        <w:spacing w:after="0" w:line="277" w:lineRule="auto"/>
        <w:rPr>
          <w:sz w:val="20"/>
          <w:szCs w:val="20"/>
          <w:color w:val="auto"/>
        </w:rPr>
      </w:pPr>
      <w:r>
        <w:rPr>
          <w:rFonts w:ascii="Times New Roman" w:cs="Times New Roman" w:eastAsia="Times New Roman" w:hAnsi="Times New Roman"/>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are validly issued, fully paid and non-assessable. The rights, preferences, and privileges of holders of our common stock are subject to the rights of the stockholders of any series of preferred stock that we may designate in the future. Our certificate of incorporation and bylaws do not restrict the ability of a holder of our common stock to transfer his, her or its shares of common stock.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the Company or other corporate action. We have no shares of preferred stock outstanding, and we have no present plan to issue any shares of preferred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Certain holders of shares of our common stock are entitled to certain rights with respect to registration of such shares under the Securities Act of 1933, as amended, or the Securities Act. These shares are referred to as registrable securities. The holders of these registrable securities possess registration rights pursuant to the terms of our second amended and restated investors’ rights agreement, dated August 2, 2024, or the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 which will expire no later than five years after our initial public offering.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right="180" w:firstLine="441"/>
        <w:spacing w:after="0" w:line="281" w:lineRule="auto"/>
        <w:rPr>
          <w:sz w:val="20"/>
          <w:szCs w:val="20"/>
          <w:color w:val="auto"/>
        </w:rPr>
      </w:pPr>
      <w:r>
        <w:rPr>
          <w:rFonts w:ascii="Times New Roman" w:cs="Times New Roman" w:eastAsia="Times New Roman" w:hAnsi="Times New Roman"/>
          <w:sz w:val="17"/>
          <w:szCs w:val="17"/>
          <w:color w:val="auto"/>
        </w:rPr>
        <w:t>Certain holders of our common stock are entitled to certain demand registration rights. Under the terms of the investors’ rights agreement, beginning 180 days after the completion of our initial public offering, the holders of at least 40% of these shares may request that we register all or a portion of their shares. We are not required to effect more than one registration statements which are declared or ordered effective. Such request for registration must cover shares with an anticipated aggregate offering price of at least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sectPr>
      </w:pPr>
    </w:p>
    <w:bookmarkStart w:id="26" w:name="page27"/>
    <w:bookmarkEnd w:id="26"/>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$10 million. Subject to certain exceptions, we are not required to effect the filing of a registration statement during the period starting with the date of the filing of, and ending on a date 60 days following the effective date of, the registration statement for such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Under the terms of the investors’ rights agreement, in the event that we propose to register any of our securities under the Securities Act, either for our own account or for the account of other security holders, the holders of our common stock will be entitled to certain piggyback registration rights allowing the holder to include their shares in such registration, subject to certain marketing and other limitations.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Certain holders of our common stock are entitled to certain Form S-3 registration rights. Under the terms of the investors’ rights agreement, holders of at least 20% of shares of our common stock can make a request that we register their shares on Form S-3 if we are qualified to file a registration statement on Form S-3 and if the reasonably anticipated aggregate net proceeds of the shares offered would equal or exceed $5 million. We will not be required to effect more than two registrations on Form S-3 within any twelve-month period. The right to have such shares registered on Form S-3 is further subject to other specified conditions and limitations.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demand registration rights and short-form registration rights granted under the investors’ rights agreement will terminate upon the earliest of (i) the closing of certain liquidation events, (ii) with respect to each stockholder, such date on which all registrable shares held by such stockholder may immediately be sold during any three-month period pursuant to Rule 144 of the Securities Act or another similar exemption and (iii) the fifth anniversary of the completion of our initial public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12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not less than two-thirds of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121"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limitation may lengthen the amount of time required to take stockholder actions and would prevent the amendment of our bylaws or removal of directors by our stockholders without holding a meeting of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121"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3" w:right="1099" w:bottom="1440" w:gutter="0" w:footer="0" w:header="0"/>
        </w:sectPr>
      </w:pPr>
    </w:p>
    <w:bookmarkStart w:id="27" w:name="page28"/>
    <w:bookmarkEnd w:id="27"/>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12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75" w:lineRule="exact"/>
        <w:rPr>
          <w:sz w:val="20"/>
          <w:szCs w:val="20"/>
          <w:color w:val="auto"/>
        </w:rPr>
      </w:pPr>
    </w:p>
    <w:p>
      <w:pPr>
        <w:ind w:left="880" w:right="740" w:hanging="436"/>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880" w:right="320" w:hanging="436"/>
        <w:spacing w:after="0" w:line="258"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5" w:lineRule="exact"/>
        <w:rPr>
          <w:rFonts w:ascii="Times New Roman" w:cs="Times New Roman" w:eastAsia="Times New Roman" w:hAnsi="Times New Roman"/>
          <w:sz w:val="18"/>
          <w:szCs w:val="18"/>
          <w:color w:val="auto"/>
        </w:rPr>
      </w:pPr>
    </w:p>
    <w:p>
      <w:pPr>
        <w:ind w:left="880" w:right="240" w:hanging="436"/>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17" w:lineRule="exact"/>
        <w:rPr>
          <w:sz w:val="20"/>
          <w:szCs w:val="20"/>
          <w:color w:val="auto"/>
        </w:rPr>
      </w:pPr>
    </w:p>
    <w:p>
      <w:pPr>
        <w:ind w:left="880" w:hanging="436"/>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880" w:right="540" w:hanging="436"/>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exchange, mortgage or other disposition involving the interested stockholder of 10 percent or more of the assets of the corporation;</w:t>
      </w:r>
    </w:p>
    <w:p>
      <w:pPr>
        <w:spacing w:after="0" w:line="53" w:lineRule="exact"/>
        <w:rPr>
          <w:rFonts w:ascii="Times New Roman" w:cs="Times New Roman" w:eastAsia="Times New Roman" w:hAnsi="Times New Roman"/>
          <w:sz w:val="18"/>
          <w:szCs w:val="18"/>
          <w:color w:val="auto"/>
        </w:rPr>
      </w:pPr>
    </w:p>
    <w:p>
      <w:pPr>
        <w:ind w:left="880" w:right="660" w:hanging="436"/>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 or</w:t>
      </w:r>
    </w:p>
    <w:p>
      <w:pPr>
        <w:spacing w:after="0" w:line="53" w:lineRule="exact"/>
        <w:rPr>
          <w:rFonts w:ascii="Times New Roman" w:cs="Times New Roman" w:eastAsia="Times New Roman" w:hAnsi="Times New Roman"/>
          <w:sz w:val="18"/>
          <w:szCs w:val="18"/>
          <w:color w:val="auto"/>
        </w:rPr>
      </w:pPr>
    </w:p>
    <w:p>
      <w:pPr>
        <w:ind w:left="880" w:right="480" w:hanging="436"/>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percent or more of the outstanding voting stock of the corporation and any entity or person affiliated with or controlling or controlled by the entity or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shall be the sole and exclusive forum for the following claims or causes of action under the Delaware statutory or common law: (i) any derivative action or proceeding brought on our behalf,</w:t>
      </w:r>
    </w:p>
    <w:p>
      <w:pPr>
        <w:ind w:right="60" w:firstLine="4"/>
        <w:spacing w:after="0" w:line="253"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certificate of incorporation or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8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87"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In addition, our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0"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Additionally, our bylaws provide that any person or entity holding, owning or otherwise acquiring any interest in any of our securities shall be deemed to have notice of and consented to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“MBX”.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Massachusetts 02021.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431" w:right="111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applicable to non-U.S. holders (as defined below) with respect to their ownership and disposition of shares of our common stock issued pursuant to this offering, referred to below as “our common stock”. For purposes of this discussion, a non-U.S. holder means a beneficial owner of our common stock that is for U.S. federal income tax purposes:</w:t>
      </w:r>
    </w:p>
    <w:p>
      <w:pPr>
        <w:spacing w:after="0" w:line="72" w:lineRule="exact"/>
        <w:rPr>
          <w:sz w:val="20"/>
          <w:szCs w:val="20"/>
          <w:color w:val="auto"/>
        </w:rPr>
      </w:pPr>
    </w:p>
    <w:p>
      <w:pPr>
        <w:ind w:left="880" w:hanging="436"/>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 other foreign organization taxable as a corporation; or</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trust or estate the income of which is not subject to U.S. federal income tax on a net income basis.</w:t>
      </w:r>
    </w:p>
    <w:p>
      <w:pPr>
        <w:spacing w:after="0" w:line="225"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or arrangements that are treated as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83"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This discussion is based on current provisions of the Internal Revenue Code of 1986, as amended, or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89"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relevant to a particular non-U.S. holder in light of that non-U.S. holder’s individual circumstances nor does it address any aspects of U.S. state, local or non-U.S. taxes, any minimum tax, the Medicare contribution tax on net investment income, the rules regarding qualified small business stock within the meaning of Section 1202 of the Code, or any other aspect of any U.S. federal tax other than income taxes. This discussion also does not consider any specific facts or circumstances that may apply to a non-U.S. holder and does not address the special tax rules applicable to particular non-U.S. holders, such as:</w:t>
      </w:r>
    </w:p>
    <w:p>
      <w:pPr>
        <w:spacing w:after="0" w:line="79" w:lineRule="exact"/>
        <w:rPr>
          <w:sz w:val="20"/>
          <w:szCs w:val="20"/>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“real estate investment trusts”;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880" w:right="120" w:hanging="436"/>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or entities wholly owned by a “qualified foreign pension fund”;</w:t>
      </w:r>
    </w:p>
    <w:p>
      <w:pPr>
        <w:spacing w:after="0" w:line="117" w:lineRule="exact"/>
        <w:rPr>
          <w:rFonts w:ascii="Times New Roman" w:cs="Times New Roman" w:eastAsia="Times New Roman" w:hAnsi="Times New Roman"/>
          <w:sz w:val="18"/>
          <w:szCs w:val="18"/>
          <w:color w:val="auto"/>
        </w:rPr>
      </w:pPr>
    </w:p>
    <w:p>
      <w:pPr>
        <w:ind w:left="880" w:right="220" w:hanging="436"/>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partners and investors therein);</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for U.S. federal income tax purposes;</w:t>
      </w:r>
    </w:p>
    <w:p>
      <w:pPr>
        <w:spacing w:after="0" w:line="117" w:lineRule="exact"/>
        <w:rPr>
          <w:rFonts w:ascii="Times New Roman" w:cs="Times New Roman" w:eastAsia="Times New Roman" w:hAnsi="Times New Roman"/>
          <w:sz w:val="18"/>
          <w:szCs w:val="18"/>
          <w:color w:val="auto"/>
        </w:rPr>
      </w:pPr>
    </w:p>
    <w:p>
      <w:pPr>
        <w:ind w:left="880" w:right="340" w:hanging="436"/>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53" w:lineRule="exact"/>
        <w:rPr>
          <w:rFonts w:ascii="Times New Roman" w:cs="Times New Roman" w:eastAsia="Times New Roman" w:hAnsi="Times New Roman"/>
          <w:sz w:val="18"/>
          <w:szCs w:val="18"/>
          <w:color w:val="auto"/>
        </w:rPr>
      </w:pPr>
    </w:p>
    <w:p>
      <w:pPr>
        <w:ind w:left="880" w:right="300" w:hanging="436"/>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conversion transaction, synthetic security or other integrated investment; and</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211" w:right="1119" w:bottom="1440" w:gutter="0" w:footer="0" w:header="0"/>
        </w:sectPr>
      </w:pPr>
    </w:p>
    <w:bookmarkStart w:id="30" w:name="page31"/>
    <w:bookmarkEnd w:id="30"/>
    <w:p>
      <w:pPr>
        <w:ind w:right="380" w:firstLine="441"/>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distributions on our capital stock and we do not anticipate paying cash distributions on our common stock for the foreseeable future. Distributions, if any, on our common stock will generally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and other taxable disposition of our common stock.” Any such distributions will also be subject to the discussions below under the sections entitled “Backup withholding and information reporting” and “Withholding and information reporting requirements—FATCA.”</w:t>
      </w:r>
    </w:p>
    <w:p>
      <w:pPr>
        <w:spacing w:after="0" w:line="192"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Subject to the discussion in the following two paragraphs in this section, dividends paid to a non-U.S. holder generally will be subject to withholding of U.S. federal income tax at a 30 percent rate or a reduced rate specified by an applicable income tax treaty between the United States and such holder’s country of residence.</w:t>
      </w:r>
    </w:p>
    <w:p>
      <w:pPr>
        <w:spacing w:after="0" w:line="176"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percent withholding tax if the non-U.S. holder satisfies applicable certification requirements. However, such U.S. effectively connected income, net of specified deductions and credits, is taxed at the same U.S. federal income tax rates applicable to United States persons (as defined in the Code). Any U.S. effectively connected income received by a non-U.S. holder that is a corporation may also, under certain circumstances, be subject to an additional “branch profits tax” at a 30 percent rate or a reduced rate specified by an applicable income tax treaty between the United States and such holder’s country of residence.</w:t>
      </w:r>
    </w:p>
    <w:p>
      <w:pPr>
        <w:spacing w:after="0" w:line="19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other applicable or successor form) to the applicable withholding agent and satisfy applicable certification and other requirements. Any documentation provided to an applicable withholding agent may need to be updated in certain circumstances.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an appropriate claim with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our common stock</w:t>
      </w:r>
    </w:p>
    <w:p>
      <w:pPr>
        <w:spacing w:after="0" w:line="121"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“Withholding and information reporting requirements—FATCA,” a non-U.S. holder generally will not be subject to any U.S. federal income tax or withholding on any gain realized upon such holder’s sale or other taxable disposition of shares of our common stock unless:</w:t>
      </w:r>
    </w:p>
    <w:p>
      <w:pPr>
        <w:spacing w:after="0" w:line="68" w:lineRule="exact"/>
        <w:rPr>
          <w:sz w:val="20"/>
          <w:szCs w:val="20"/>
          <w:color w:val="auto"/>
        </w:rPr>
      </w:pPr>
    </w:p>
    <w:p>
      <w:pPr>
        <w:ind w:left="880" w:right="240" w:hanging="436"/>
        <w:spacing w:after="0" w:line="258"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common stock” also may apply;</w:t>
      </w:r>
    </w:p>
    <w:p>
      <w:pPr>
        <w:spacing w:after="0" w:line="75" w:lineRule="exact"/>
        <w:rPr>
          <w:rFonts w:ascii="Times New Roman" w:cs="Times New Roman" w:eastAsia="Times New Roman" w:hAnsi="Times New Roman"/>
          <w:sz w:val="18"/>
          <w:szCs w:val="18"/>
          <w:color w:val="auto"/>
        </w:rPr>
      </w:pPr>
    </w:p>
    <w:p>
      <w:pPr>
        <w:ind w:left="880" w:right="40" w:hanging="436"/>
        <w:spacing w:after="0" w:line="255"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percent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431" w:right="1119" w:bottom="1440" w:gutter="0" w:footer="0" w:header="0"/>
        </w:sectPr>
      </w:pPr>
    </w:p>
    <w:bookmarkStart w:id="31" w:name="page32"/>
    <w:bookmarkEnd w:id="31"/>
    <w:p>
      <w:pPr>
        <w:ind w:left="880" w:hanging="436"/>
        <w:spacing w:after="0" w:line="253"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sale or other taxable disposition (or the non-U.S. holder’s holding period, if shorter) a “U.S. real property holding corporation,” as described below, unless our common stock is regularly traded on an established securities market and the non-U.S. holder holds no more than 5 percent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if the fair market value of its U.S. real property interests, as defined in the Code and applicable Treasury regulations, equals or exceeds 50 percent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We (or the applicable paying agent) must report annually to the IRS and to each non-U.S. holder the gross amount of the distributions on our common stock paid to such holder and the tax withheld, if any, with respect to such distributions. A non-U.S. holder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89"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and information reporting requirements—FATCA</w:t>
      </w:r>
    </w:p>
    <w:p>
      <w:pPr>
        <w:spacing w:after="0" w:line="12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U.S. federal withholding tax at a rate of 30 percent on payments of dividends on, or, subject to the discussion of certain proposed U.S. Treasury regulations below,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However, the U.S. Treasury released proposed regulations which, if finalized in their present form, would eliminate the federal withholding tax of 30 percent applicable to the gross proceeds of a sale or other disposition of our common stock. In the preamble to such proposed regulations, the U.S. Treasury stated that taxpayers (including withholding agents) may generally rely on the proposed regulations until final regulations are 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percent withholding tax under FATCA.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3" w:right="1099" w:bottom="1440" w:gutter="0" w:footer="0" w:header="0"/>
        </w:sectPr>
      </w:pPr>
    </w:p>
    <w:bookmarkStart w:id="32" w:name="page33"/>
    <w:bookmarkEnd w:id="32"/>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300" w:firstLine="441"/>
        <w:spacing w:after="0" w:line="256" w:lineRule="auto"/>
        <w:rPr>
          <w:sz w:val="20"/>
          <w:szCs w:val="20"/>
          <w:color w:val="auto"/>
        </w:rPr>
      </w:pPr>
      <w:r>
        <w:rPr>
          <w:rFonts w:ascii="Times New Roman" w:cs="Times New Roman" w:eastAsia="Times New Roman" w:hAnsi="Times New Roman"/>
          <w:sz w:val="18"/>
          <w:szCs w:val="18"/>
          <w:color w:val="auto"/>
        </w:rPr>
        <w:t>We are offering the shares of common stock described in this prospectus through a number of underwriters. J.P. Morgan Securities LLC and Jefferies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9"/>
        </w:trPr>
        <w:tc>
          <w:tcPr>
            <w:tcW w:w="8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underwriters propose to offer the shares of common stock directly to the public at the public offering price set forth on the</w:t>
      </w:r>
    </w:p>
    <w:p>
      <w:pPr>
        <w:spacing w:after="0" w:line="27"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cover page of this prospectus and to certain dealers at that price less a concession not in excess of $ per share. After the offering of the shares to the public, if all of the shares of common stock are not sold at the public offering price, the underwriters may change the offering price and the other selling terms. Sales of any shares made outside of the United States may be made by affiliates of the underwriters.</w:t>
      </w:r>
    </w:p>
    <w:p>
      <w:pPr>
        <w:spacing w:after="0" w:line="148"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The underwriters have an option to buy up to 1,500,000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4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option to</w:t>
            </w:r>
          </w:p>
        </w:tc>
        <w:tc>
          <w:tcPr>
            <w:tcW w:w="1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 full option to</w:t>
            </w:r>
          </w:p>
        </w:tc>
      </w:tr>
      <w:tr>
        <w:trPr>
          <w:trHeight w:val="149"/>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additional</w:t>
            </w: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additional</w:t>
            </w:r>
          </w:p>
        </w:tc>
      </w:tr>
      <w:tr>
        <w:trPr>
          <w:trHeight w:val="173"/>
        </w:trPr>
        <w:tc>
          <w:tcPr>
            <w:tcW w:w="6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exercise</w:t>
            </w: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exercise</w:t>
            </w: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spacing w:after="0"/>
              <w:rPr>
                <w:sz w:val="18"/>
                <w:szCs w:val="18"/>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spacing w:after="0"/>
              <w:rPr>
                <w:sz w:val="20"/>
                <w:szCs w:val="20"/>
                <w:color w:val="auto"/>
              </w:rPr>
            </w:pPr>
          </w:p>
        </w:tc>
      </w:tr>
    </w:tbl>
    <w:p>
      <w:pPr>
        <w:spacing w:after="0" w:line="179"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$450,000. We have agreed to reimburse the underwriters for expenses relating to the clearance of this offering with the Financial Industry Regulatory Authority of up to $40,000.</w:t>
      </w:r>
    </w:p>
    <w:p>
      <w:pPr>
        <w:spacing w:after="0" w:line="13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9" w:lineRule="exact"/>
        <w:rPr>
          <w:sz w:val="20"/>
          <w:szCs w:val="20"/>
          <w:color w:val="auto"/>
        </w:rPr>
      </w:pPr>
    </w:p>
    <w:p>
      <w:pPr>
        <w:ind w:right="80" w:firstLine="441"/>
        <w:spacing w:after="0" w:line="289" w:lineRule="auto"/>
        <w:rPr>
          <w:sz w:val="20"/>
          <w:szCs w:val="20"/>
          <w:color w:val="auto"/>
        </w:rPr>
      </w:pPr>
      <w:r>
        <w:rPr>
          <w:rFonts w:ascii="Times New Roman" w:cs="Times New Roman" w:eastAsia="Times New Roman" w:hAnsi="Times New Roman"/>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33" w:name="page34"/>
    <w:bookmarkEnd w:id="33"/>
    <w:p>
      <w:pPr>
        <w:ind w:right="120"/>
        <w:spacing w:after="0" w:line="255" w:lineRule="auto"/>
        <w:rPr>
          <w:sz w:val="20"/>
          <w:szCs w:val="20"/>
          <w:color w:val="auto"/>
        </w:rPr>
      </w:pPr>
      <w:r>
        <w:rPr>
          <w:rFonts w:ascii="Times New Roman" w:cs="Times New Roman" w:eastAsia="Times New Roman" w:hAnsi="Times New Roman"/>
          <w:sz w:val="18"/>
          <w:szCs w:val="18"/>
          <w:color w:val="auto"/>
        </w:rPr>
        <w:t>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Jefferies LLC for a period of 90 days after the date of this prospectus, other than the shares of our common stock to be sold in this offering.</w:t>
      </w:r>
    </w:p>
    <w:p>
      <w:pPr>
        <w:spacing w:after="0" w:line="148"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restricted stock units, or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(iii) the issuance of up to 5% of the outstanding shares of our common stock, or securities convertible into, exercisable for, or which are otherwise exchangeable for, our common stock, immediately following the closing of this offering, in connection with any bona fide licensing, commercialization, joint venture, technology transfer, acquisition, development collaboration or other strategic transaction, provided that for (i)-(iii) such recipients enter into a lock-up agreement with the underwriters; (iv)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or (v) after a period of 30 days following the date of this prospectus, the filing of a registration statement on Form S-3, including any amendments thereto, and/or prospectus or prospectus supplement for an “at-the-market” offering (as defined in Rule 415 of the Securities Act) and entry into an at-the-market sales agreement and/or the issuance of shares of common stock pursuant to such at-the-market sales agreement.</w:t>
      </w:r>
    </w:p>
    <w:p>
      <w:pPr>
        <w:spacing w:after="0" w:line="166"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and certain of our significant shareholders, or such persons, the lock-up parties, have entered into lock-up agreements with the underwriters prior to the commencement of this offering pursuant to which each lock-up party, with limited exceptions, for a period of 75 days after the date of this prospectus or such period, the restricted period, may not (and may not cause any of their direct or indirect affiliates to), without the prior written consent of J.P. Morgan Securities LLC and Jefferies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Securities and Exchange Commission and securities which may be issued upon exercise of a stock option or warrant, or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4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as a charitable contribution, or for bona fide estate planning purposes, (ii) by will or intestacy or any other testamentary document, (iii) to any trust for the direct or indirect benefit of the lock-up party or its immediate family, or if the lock-up party is a trust, to a trustor, trustee (or co-trustee) or beneficiary of the trust or to the estate of a beneficiary of such trust (for purposes hereof, “immediate family” shall mean any relationship by blood, current or former marriage, domestic partnership or adoption, not more remote than first cousin), (iv) to a corporation, partnership, limited liability company, investment fund or other entity (A) of which the lock-up party and/or its immediate family are the legal and beneficial owner of all of the outstanding equity securities or similar interests or (B) controlled by, or under common control with, the lock-up party or the immediate family of the lock-up party, (v) to a nominee or custodian of a person or entity to whom a disposition or transfer would be permissible under clauses (i) through (iv), (vi) if the lock-up party is a corporation, partnership, limited liability company, trust or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5" w:right="1099" w:bottom="1440" w:gutter="0" w:footer="0" w:header="0"/>
        </w:sectPr>
      </w:pPr>
    </w:p>
    <w:bookmarkStart w:id="34" w:name="page35"/>
    <w:bookmarkEnd w:id="34"/>
    <w:p>
      <w:pPr>
        <w:ind w:right="20"/>
        <w:spacing w:after="0" w:line="254" w:lineRule="auto"/>
        <w:rPr>
          <w:sz w:val="20"/>
          <w:szCs w:val="20"/>
          <w:color w:val="auto"/>
        </w:rPr>
      </w:pPr>
      <w:r>
        <w:rPr>
          <w:rFonts w:ascii="Times New Roman" w:cs="Times New Roman" w:eastAsia="Times New Roman" w:hAnsi="Times New Roman"/>
          <w:sz w:val="18"/>
          <w:szCs w:val="18"/>
          <w:color w:val="auto"/>
        </w:rPr>
        <w:t>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its affiliates (including, for the avoidance of doubt, where the lock-up party is a partnership, to its general partner or a successor partnership or fund, or any other funds managed by such partnership), or (B) as part of a distribution to limited partners, members or shareholders of the lock-up party,</w:t>
      </w:r>
    </w:p>
    <w:p>
      <w:pPr>
        <w:spacing w:after="0" w:line="3" w:lineRule="exact"/>
        <w:rPr>
          <w:sz w:val="20"/>
          <w:szCs w:val="20"/>
          <w:color w:val="auto"/>
        </w:rPr>
      </w:pPr>
    </w:p>
    <w:p>
      <w:pPr>
        <w:ind w:left="360" w:hanging="356"/>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9" w:lineRule="exact"/>
        <w:rPr>
          <w:rFonts w:ascii="Times New Roman" w:cs="Times New Roman" w:eastAsia="Times New Roman" w:hAnsi="Times New Roman"/>
          <w:sz w:val="18"/>
          <w:szCs w:val="18"/>
          <w:color w:val="auto"/>
        </w:rPr>
      </w:pPr>
    </w:p>
    <w:p>
      <w:pPr>
        <w:ind w:right="80" w:firstLine="4"/>
        <w:spacing w:after="0" w:line="250" w:lineRule="auto"/>
        <w:tabs>
          <w:tab w:leader="none" w:pos="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from an employee upon death, disability or termination of employment, in each case, of such employee, (ix) as part of a transaction related to lock-up securities acquired in this offering (if not a director or officer) or in open market transactions following this offering, (x) to us in connection with the vesting, settlement, or exercise of RSUs, options, warrants or other rights to purchase shares of our common stock (including, in each case, by way of “net” or “cashless” exercise), including for the payment of exercise price and tax and remittance payments due as a result of the vesting, settlement, or exercise of such RSUs, options, warrants or rights, provided that any such shares of our common stock received upon such exercise, vesting or settlement shall be subject to the restrictions similar to those in the immediately preceding paragraph, and provided further that any such RSUs, options, warrants or rights are held by the lock-up party pursuant to an agreement or equity awards granted under a stock incentive plan or other equity award plan, each such agreement or plan which is described in this prospectus, (xi) pursuant to a bona fide third-party tender offer, merger, consolidation or other similar transaction that is approved by our board of directors and made to all shareholders involving a change in control, provided that if such transaction is not completed, all such lock-up securities would remain subject to the restrictions in the immediately preceding paragraph (xii) to an immediate family member of the lock-up party, or (xiii) to us in connection with the transfer of shares pursuant to option agreements relating to the early exercise by the lock-up party of unvested options issued pursuant to our equity incentive plans, which plans are in each case described in this Registration Statement, under which we have the right to repurchase such shares and only to the extent we elect to exercise such right.; provided that (A) in the case of any transfer or distribution pursuant to clauses (i), (ii), (iii), (iv), (v), (vi), (vii) and (xii) of this paragraph, such transfer shall not involve a disposition for value and each donee, devisee, transferee or distributee shall execute and deliver to the representatives of the underwriters a lock-up letter in the form of the lock-up agreement, (B) in the case of any transfer or distribution pursuant to clauses (iii), (iv), (v), (vi) and (xii) of this paragraph, no filing by any party (donor, donee, devisee, transferor, transferee, distributer or distributee) under the Exchange Act, or other public announcement shall be required or shall be made voluntarily in connection with such transfer or distribution (other than a filing on a Form 5 or a filing required pursuant to Section 13 of the Exchange Act and the rules and regulations promulgated thereunder made after the expiration of the restricted period) and (C) in the case of any transfer or distribution pursuant to clauses (i), (ii), (vii), (viii), (ix), (x) and (xiii) of this paragraph it shall be a condition to such transfer that no public filing, report or announcement shall be voluntarily made and if any filing under Section 16(a) of the Exchange Act, or other public filing, report or announcement reporting a reduction in beneficial ownership of shares of our common stock in connection with such transfer or distribution shall be legally required during the restricted period, such filing, report or announcement shall clearly indicate in the footnotes thereto the nature and conditions of such transfer;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establishment or modification by lock-up parties of trading plans under Rule 10b5-1 under the Exchange Act for the transfer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 and (e) the sale of our common stock pursuant to the terms of the underwriting agreement.</w:t>
      </w:r>
    </w:p>
    <w:p>
      <w:pPr>
        <w:spacing w:after="0" w:line="171"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J.P. Morgan Securities LLC and Jefferies LLC, in their sole discretion, may release the securities subject to any of the lock-up agreements with the underwriters described above, in whole or in part at any time.</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“MBX”.</w:t>
      </w:r>
    </w:p>
    <w:p>
      <w:pPr>
        <w:spacing w:after="0" w:line="18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5" w:right="1099" w:bottom="1440" w:gutter="0" w:footer="0" w:header="0"/>
        </w:sectPr>
      </w:pPr>
    </w:p>
    <w:bookmarkStart w:id="35" w:name="page36"/>
    <w:bookmarkEnd w:id="35"/>
    <w:p>
      <w:pPr>
        <w:ind w:right="160"/>
        <w:spacing w:after="0" w:line="258" w:lineRule="auto"/>
        <w:rPr>
          <w:sz w:val="20"/>
          <w:szCs w:val="20"/>
          <w:color w:val="auto"/>
        </w:rPr>
      </w:pPr>
      <w:r>
        <w:rPr>
          <w:rFonts w:ascii="Times New Roman" w:cs="Times New Roman" w:eastAsia="Times New Roman" w:hAnsi="Times New Roman"/>
          <w:sz w:val="18"/>
          <w:szCs w:val="18"/>
          <w:color w:val="auto"/>
        </w:rPr>
        <w:t>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43"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56"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39"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this offering certain of the underwriters (and selling group members)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5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5"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79" w:lineRule="exact"/>
        <w:rPr>
          <w:sz w:val="20"/>
          <w:szCs w:val="20"/>
          <w:color w:val="auto"/>
        </w:rPr>
      </w:pPr>
    </w:p>
    <w:p>
      <w:pPr>
        <w:ind w:left="880" w:hanging="436"/>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17" w:lineRule="exact"/>
        <w:rPr>
          <w:rFonts w:ascii="Times New Roman" w:cs="Times New Roman" w:eastAsia="Times New Roman" w:hAnsi="Times New Roman"/>
          <w:sz w:val="18"/>
          <w:szCs w:val="18"/>
          <w:color w:val="auto"/>
        </w:rPr>
      </w:pPr>
    </w:p>
    <w:p>
      <w:pPr>
        <w:ind w:left="880" w:right="360" w:hanging="436"/>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215" w:right="1119" w:bottom="1440" w:gutter="0" w:footer="0" w:header="0"/>
        </w:sectPr>
      </w:pPr>
    </w:p>
    <w:bookmarkStart w:id="36" w:name="page37"/>
    <w:bookmarkEnd w:id="36"/>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the Issuer or any underwriter to publish a prospectus pursuant to Article 3 of the Prospectus Regulation or supplement a prospectus pursuant to Article 23 of the Prospectus Regulation.</w:t>
      </w:r>
    </w:p>
    <w:p>
      <w:pPr>
        <w:spacing w:after="0" w:line="135"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135"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47"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35"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In relation to the United Kingdom, or the UK, no shares of our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75" w:lineRule="exact"/>
        <w:rPr>
          <w:sz w:val="20"/>
          <w:szCs w:val="20"/>
          <w:color w:val="auto"/>
        </w:rPr>
      </w:pPr>
    </w:p>
    <w:p>
      <w:pPr>
        <w:ind w:left="880" w:hanging="436"/>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17" w:lineRule="exact"/>
        <w:rPr>
          <w:rFonts w:ascii="Times New Roman" w:cs="Times New Roman" w:eastAsia="Times New Roman" w:hAnsi="Times New Roman"/>
          <w:sz w:val="18"/>
          <w:szCs w:val="18"/>
          <w:color w:val="auto"/>
        </w:rPr>
      </w:pPr>
    </w:p>
    <w:p>
      <w:pPr>
        <w:ind w:left="880" w:right="60" w:hanging="436"/>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185"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the Issuer or any underwriter to publish a prospectus pursuant to Section 85 of the FSMA or Article 3 of the UK Prospectus Regulation or supplement a prospectus pursuant to Article 23 of the UK Prospectus Regulation.</w:t>
      </w:r>
    </w:p>
    <w:p>
      <w:pPr>
        <w:spacing w:after="0" w:line="149"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Each person in the UK who initially acquires any shares of common stock or to whom any offer is made will be deemed to have represented, acknowledged and agreed to and with the Company and the underwriters that it is a qualified investor within the meaning of the UK Prospectus Regulation.</w:t>
      </w:r>
    </w:p>
    <w:p>
      <w:pPr>
        <w:spacing w:after="0" w:line="13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47"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35"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90" w:right="1099" w:bottom="1440" w:gutter="0" w:footer="0" w:header="0"/>
        </w:sectPr>
      </w:pPr>
    </w:p>
    <w:bookmarkStart w:id="37" w:name="page38"/>
    <w:bookmarkEnd w:id="37"/>
    <w:p>
      <w:pPr>
        <w:ind w:firstLine="441"/>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or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6"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3" w:lineRule="exact"/>
        <w:rPr>
          <w:sz w:val="20"/>
          <w:szCs w:val="20"/>
          <w:color w:val="auto"/>
        </w:rPr>
      </w:pPr>
    </w:p>
    <w:p>
      <w:pPr>
        <w:ind w:right="60" w:firstLine="441"/>
        <w:spacing w:after="0" w:line="312"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shares of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62"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323" w:right="1119" w:bottom="1440" w:gutter="0" w:footer="0" w:header="0"/>
        </w:sectPr>
      </w:pPr>
    </w:p>
    <w:bookmarkStart w:id="38" w:name="page39"/>
    <w:bookmarkEnd w:id="38"/>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81" w:lineRule="exact"/>
        <w:rPr>
          <w:sz w:val="20"/>
          <w:szCs w:val="20"/>
          <w:color w:val="auto"/>
        </w:rPr>
      </w:pPr>
    </w:p>
    <w:p>
      <w:pPr>
        <w:ind w:left="880" w:right="420" w:hanging="436"/>
        <w:spacing w:after="0" w:line="282"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53" w:lineRule="exact"/>
        <w:rPr>
          <w:rFonts w:ascii="Times New Roman" w:cs="Times New Roman" w:eastAsia="Times New Roman" w:hAnsi="Times New Roman"/>
          <w:sz w:val="18"/>
          <w:szCs w:val="18"/>
          <w:color w:val="auto"/>
        </w:rPr>
      </w:pPr>
    </w:p>
    <w:p>
      <w:pPr>
        <w:ind w:left="880" w:right="280" w:hanging="436"/>
        <w:spacing w:after="0" w:line="282"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198" w:lineRule="exact"/>
        <w:rPr>
          <w:sz w:val="20"/>
          <w:szCs w:val="20"/>
          <w:color w:val="auto"/>
        </w:rPr>
      </w:pPr>
    </w:p>
    <w:p>
      <w:pPr>
        <w:ind w:left="880" w:right="20" w:hanging="436"/>
        <w:spacing w:after="0" w:line="266"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880" w:right="140" w:hanging="436"/>
        <w:spacing w:after="0" w:line="258"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75" w:lineRule="exact"/>
        <w:rPr>
          <w:rFonts w:ascii="Times New Roman" w:cs="Times New Roman" w:eastAsia="Times New Roman" w:hAnsi="Times New Roman"/>
          <w:sz w:val="18"/>
          <w:szCs w:val="18"/>
          <w:color w:val="auto"/>
        </w:rPr>
      </w:pPr>
    </w:p>
    <w:p>
      <w:pPr>
        <w:ind w:left="1320" w:right="500" w:hanging="435"/>
        <w:spacing w:after="0" w:line="282" w:lineRule="auto"/>
        <w:tabs>
          <w:tab w:leader="none" w:pos="13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53"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7"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17"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17" w:lineRule="exact"/>
        <w:rPr>
          <w:rFonts w:ascii="Times New Roman" w:cs="Times New Roman" w:eastAsia="Times New Roman" w:hAnsi="Times New Roman"/>
          <w:sz w:val="18"/>
          <w:szCs w:val="18"/>
          <w:color w:val="auto"/>
        </w:rPr>
      </w:pPr>
    </w:p>
    <w:p>
      <w:pPr>
        <w:ind w:left="1320" w:right="400" w:hanging="435"/>
        <w:spacing w:after="0" w:line="282" w:lineRule="auto"/>
        <w:tabs>
          <w:tab w:leader="none" w:pos="13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54"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right="240" w:firstLine="441"/>
        <w:spacing w:after="0" w:line="255"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39" w:name="page40"/>
    <w:bookmarkEnd w:id="39"/>
    <w:p>
      <w:pPr>
        <w:ind w:right="240"/>
        <w:spacing w:after="0" w:line="266" w:lineRule="auto"/>
        <w:rPr>
          <w:sz w:val="20"/>
          <w:szCs w:val="20"/>
          <w:color w:val="auto"/>
        </w:rPr>
      </w:pPr>
      <w:r>
        <w:rPr>
          <w:rFonts w:ascii="Times New Roman" w:cs="Times New Roman" w:eastAsia="Times New Roman" w:hAnsi="Times New Roman"/>
          <w:sz w:val="18"/>
          <w:szCs w:val="18"/>
          <w:color w:val="auto"/>
        </w:rPr>
        <w:t>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21"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167"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85" w:lineRule="exact"/>
        <w:rPr>
          <w:sz w:val="20"/>
          <w:szCs w:val="20"/>
          <w:color w:val="auto"/>
        </w:rPr>
      </w:pPr>
    </w:p>
    <w:p>
      <w:pPr>
        <w:ind w:left="880" w:right="140" w:hanging="436"/>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or the Corporations Act;</w:t>
      </w:r>
    </w:p>
    <w:p>
      <w:pPr>
        <w:spacing w:after="0" w:line="53" w:lineRule="exact"/>
        <w:rPr>
          <w:rFonts w:ascii="Times New Roman" w:cs="Times New Roman" w:eastAsia="Times New Roman" w:hAnsi="Times New Roman"/>
          <w:sz w:val="18"/>
          <w:szCs w:val="18"/>
          <w:color w:val="auto"/>
        </w:rPr>
      </w:pPr>
    </w:p>
    <w:p>
      <w:pPr>
        <w:ind w:left="880" w:right="120" w:hanging="436"/>
        <w:spacing w:after="0" w:line="266"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 as a disclosure document for the purposes of the Corporations Act and does not purport to include the information required of a disclosure document for the purposes of the Corporations Act; and</w:t>
      </w:r>
    </w:p>
    <w:p>
      <w:pPr>
        <w:spacing w:after="0" w:line="67" w:lineRule="exact"/>
        <w:rPr>
          <w:rFonts w:ascii="Times New Roman" w:cs="Times New Roman" w:eastAsia="Times New Roman" w:hAnsi="Times New Roman"/>
          <w:sz w:val="18"/>
          <w:szCs w:val="18"/>
          <w:color w:val="auto"/>
        </w:rPr>
      </w:pPr>
    </w:p>
    <w:p>
      <w:pPr>
        <w:ind w:left="880" w:right="140" w:hanging="436"/>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54"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60"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3" w:right="1099" w:bottom="1440" w:gutter="0" w:footer="0" w:header="0"/>
        </w:sectPr>
      </w:pPr>
    </w:p>
    <w:bookmarkStart w:id="40" w:name="page41"/>
    <w:bookmarkEnd w:id="40"/>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121" w:lineRule="exact"/>
        <w:rPr>
          <w:sz w:val="20"/>
          <w:szCs w:val="20"/>
          <w:color w:val="auto"/>
        </w:rPr>
      </w:pPr>
    </w:p>
    <w:p>
      <w:pPr>
        <w:ind w:right="100" w:firstLine="441"/>
        <w:spacing w:after="0" w:line="281" w:lineRule="auto"/>
        <w:rPr>
          <w:sz w:val="20"/>
          <w:szCs w:val="20"/>
          <w:color w:val="auto"/>
        </w:rPr>
      </w:pPr>
      <w:r>
        <w:rPr>
          <w:rFonts w:ascii="Times New Roman" w:cs="Times New Roman" w:eastAsia="Times New Roman" w:hAnsi="Times New Roman"/>
          <w:sz w:val="17"/>
          <w:szCs w:val="17"/>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Investments Services and Capital Markets Act of Korea and the decrees and regulations thereunder, or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Saudi Arabia</w:t>
      </w:r>
    </w:p>
    <w:p>
      <w:pPr>
        <w:spacing w:after="0" w:line="121"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shares of common stock offered hereby should conduct their own due diligence on the accuracy of the information relating to the securities. If you do not understand the contents of this document, you should consult an authorized financial adviser.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 or DIFC</w:t>
      </w:r>
    </w:p>
    <w:p>
      <w:pPr>
        <w:spacing w:after="0" w:line="121"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shares of common stock to which this document relates may be illiquid and/or subject to restrictions on their resale. Prospective purchasers of the shares of common stock offered should conduct their own due diligence on the securities. If you do not understand the contents of this document, you should consult an authorized financial advisor.</w:t>
      </w:r>
    </w:p>
    <w:p>
      <w:pPr>
        <w:spacing w:after="0" w:line="151"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121"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British Virgin Islands</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shares of common stock are not being and may not be offered to the public or to any person in the British Virgin Islands for purchase or subscription by or on behalf of us. The shares of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41" w:name="page42"/>
    <w:bookmarkEnd w:id="41"/>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common stock in Taiwan.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121"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96 (1) (a) the offer, transfer, sale, renunciation or delivery is to:</w:t>
      </w:r>
    </w:p>
    <w:p>
      <w:pPr>
        <w:spacing w:after="0" w:line="185" w:lineRule="exact"/>
        <w:rPr>
          <w:sz w:val="20"/>
          <w:szCs w:val="20"/>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financial service providers under South African law;</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recognized as such under South African law;</w:t>
      </w:r>
    </w:p>
    <w:p>
      <w:pPr>
        <w:spacing w:after="0" w:line="117" w:lineRule="exact"/>
        <w:rPr>
          <w:rFonts w:ascii="Times New Roman" w:cs="Times New Roman" w:eastAsia="Times New Roman" w:hAnsi="Times New Roman"/>
          <w:sz w:val="18"/>
          <w:szCs w:val="18"/>
          <w:color w:val="auto"/>
        </w:rPr>
      </w:pPr>
    </w:p>
    <w:p>
      <w:pPr>
        <w:ind w:left="880" w:right="240" w:hanging="436"/>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6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pacing w:after="0" w:line="117"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Section 96 (1) (b) the total contemplated acquisition cost of the shares of common stock,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35"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 Services Act,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Malaysia</w:t>
      </w:r>
    </w:p>
    <w:p>
      <w:pPr>
        <w:spacing w:after="0" w:line="121"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shares of common stock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of common stock, as principal, if the offer is on terms that the shares of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person as may be specified by the Commission; provided that, in the each of the preceding categories (i) to (xi), the distribution of the shares of common stock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Qatar</w:t>
      </w:r>
    </w:p>
    <w:p>
      <w:pPr>
        <w:spacing w:after="0" w:line="121"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The shares of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3" w:right="109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400" w:firstLine="441"/>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Goodwin Procter LLP, Boston, Massachusetts. Certain legal matters relating to this offering will be passed upon for the underwriters by Davis Polk &amp; Wardwell LLP, New York, New York.</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financial statements of MBX Biosciences, Inc. appearing in our Annual Report (Form 10-K) for the year ended December 31, 2024,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common stock we are offering by this prospectus. This prospectus, which constitutes part of the registration statement,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87"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file annual, quarterly and current reports, proxy statements and other information with the SEC. You can read our SEC filings, including the registration statement, at the SEC’s website at www.sec.gov. We also maintain a website at https://www.mbxbio.com and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in, or that can be accessed through, our website is not part of, and is not incorporated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1" w:right="109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w:t>
      </w:r>
    </w:p>
    <w:p>
      <w:pPr>
        <w:spacing w:after="0" w:line="176" w:lineRule="exact"/>
        <w:rPr>
          <w:sz w:val="20"/>
          <w:szCs w:val="20"/>
          <w:color w:val="auto"/>
        </w:rPr>
      </w:pPr>
    </w:p>
    <w:p>
      <w:pPr>
        <w:ind w:right="820" w:firstLine="441"/>
        <w:spacing w:after="0" w:line="282" w:lineRule="auto"/>
        <w:rPr>
          <w:sz w:val="20"/>
          <w:szCs w:val="20"/>
          <w:color w:val="auto"/>
        </w:rPr>
      </w:pPr>
      <w:r>
        <w:rPr>
          <w:rFonts w:ascii="Times New Roman" w:cs="Times New Roman" w:eastAsia="Times New Roman" w:hAnsi="Times New Roman"/>
          <w:sz w:val="18"/>
          <w:szCs w:val="18"/>
          <w:color w:val="auto"/>
        </w:rPr>
        <w:t>We incorporate by reference in this prospectus and the registration statement of which this prospectus form a part the information or documents listed below that we have filed with the SEC:</w:t>
      </w:r>
    </w:p>
    <w:p>
      <w:pPr>
        <w:spacing w:after="0" w:line="54" w:lineRule="exact"/>
        <w:rPr>
          <w:sz w:val="20"/>
          <w:szCs w:val="20"/>
          <w:color w:val="auto"/>
        </w:rPr>
      </w:pPr>
    </w:p>
    <w:p>
      <w:pPr>
        <w:ind w:left="880" w:hanging="436"/>
        <w:spacing w:after="0"/>
        <w:tabs>
          <w:tab w:leader="none" w:pos="880" w:val="left"/>
        </w:tabs>
        <w:numPr>
          <w:ilvl w:val="0"/>
          <w:numId w:val="40"/>
        </w:numPr>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u w:val="single" w:color="auto"/>
            <w:color w:val="0000FF"/>
          </w:rPr>
          <w:t>our Annual Report on Form 10-K for the year ended December 31, 2024, filed with the SEC on March 17, 2025</w:t>
        </w:r>
      </w:hyperlink>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0000FF"/>
        </w:rPr>
      </w:pPr>
    </w:p>
    <w:p>
      <w:pPr>
        <w:ind w:left="880" w:right="360" w:hanging="436"/>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85">
        <w:r>
          <w:rPr>
            <w:rFonts w:ascii="Times New Roman" w:cs="Times New Roman" w:eastAsia="Times New Roman" w:hAnsi="Times New Roman"/>
            <w:sz w:val="18"/>
            <w:szCs w:val="18"/>
            <w:u w:val="single" w:color="auto"/>
            <w:color w:val="0000FF"/>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6">
        <w:r>
          <w:rPr>
            <w:rFonts w:ascii="Times New Roman" w:cs="Times New Roman" w:eastAsia="Times New Roman" w:hAnsi="Times New Roman"/>
            <w:sz w:val="18"/>
            <w:szCs w:val="18"/>
            <w:u w:val="single" w:color="auto"/>
            <w:color w:val="0000FF"/>
          </w:rPr>
          <w:t>June 30, 2025</w:t>
        </w:r>
      </w:hyperlink>
      <w:r>
        <w:rPr>
          <w:rFonts w:ascii="Times New Roman" w:cs="Times New Roman" w:eastAsia="Times New Roman" w:hAnsi="Times New Roman"/>
          <w:sz w:val="18"/>
          <w:szCs w:val="18"/>
          <w:color w:val="auto"/>
        </w:rPr>
        <w:t>, filed with the SEC on May 12, 2025 and August 7, 2025, respectively;</w:t>
      </w:r>
    </w:p>
    <w:p>
      <w:pPr>
        <w:spacing w:after="0" w:line="53" w:lineRule="exact"/>
        <w:rPr>
          <w:rFonts w:ascii="Times New Roman" w:cs="Times New Roman" w:eastAsia="Times New Roman" w:hAnsi="Times New Roman"/>
          <w:sz w:val="18"/>
          <w:szCs w:val="18"/>
          <w:color w:val="auto"/>
        </w:rPr>
      </w:pPr>
    </w:p>
    <w:p>
      <w:pPr>
        <w:ind w:left="880" w:right="260" w:hanging="436"/>
        <w:spacing w:after="0" w:line="282" w:lineRule="auto"/>
        <w:tabs>
          <w:tab w:leader="none" w:pos="880" w:val="left"/>
        </w:tabs>
        <w:numPr>
          <w:ilvl w:val="0"/>
          <w:numId w:val="40"/>
        </w:numPr>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auto"/>
          </w:rPr>
          <w:t xml:space="preserve">our Current Reports on Form 8-K (other than information furnished rather than filed), filed with the SEC on </w:t>
        </w:r>
        <w:r>
          <w:rPr>
            <w:rFonts w:ascii="Times New Roman" w:cs="Times New Roman" w:eastAsia="Times New Roman" w:hAnsi="Times New Roman"/>
            <w:sz w:val="18"/>
            <w:szCs w:val="18"/>
            <w:u w:val="single" w:color="auto"/>
            <w:color w:val="0000FF"/>
          </w:rPr>
          <w:t>January 7,</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88">
        <w:r>
          <w:rPr>
            <w:rFonts w:ascii="Times New Roman" w:cs="Times New Roman" w:eastAsia="Times New Roman" w:hAnsi="Times New Roman"/>
            <w:sz w:val="18"/>
            <w:szCs w:val="18"/>
            <w:u w:val="single" w:color="auto"/>
            <w:color w:val="0000FF"/>
          </w:rPr>
          <w:t>April 7, 2025</w:t>
        </w:r>
      </w:hyperlink>
      <w:hyperlink r:id="rId8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89">
        <w:r>
          <w:rPr>
            <w:rFonts w:ascii="Times New Roman" w:cs="Times New Roman" w:eastAsia="Times New Roman" w:hAnsi="Times New Roman"/>
            <w:sz w:val="18"/>
            <w:szCs w:val="18"/>
            <w:u w:val="single" w:color="auto"/>
            <w:color w:val="0000FF"/>
          </w:rPr>
          <w:t>June 6, 2025</w:t>
        </w:r>
      </w:hyperlink>
      <w:hyperlink r:id="rId8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90">
        <w:r>
          <w:rPr>
            <w:rFonts w:ascii="Times New Roman" w:cs="Times New Roman" w:eastAsia="Times New Roman" w:hAnsi="Times New Roman"/>
            <w:sz w:val="18"/>
            <w:szCs w:val="18"/>
            <w:u w:val="single" w:color="auto"/>
            <w:color w:val="0000FF"/>
          </w:rPr>
          <w:t>June 16, 2025</w:t>
        </w:r>
      </w:hyperlink>
      <w:hyperlink r:id="rId8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91">
        <w:r>
          <w:rPr>
            <w:rFonts w:ascii="Times New Roman" w:cs="Times New Roman" w:eastAsia="Times New Roman" w:hAnsi="Times New Roman"/>
            <w:sz w:val="18"/>
            <w:szCs w:val="18"/>
            <w:u w:val="single" w:color="auto"/>
            <w:color w:val="0000FF"/>
          </w:rPr>
          <w:t xml:space="preserve">September 4, 2025 </w:t>
        </w:r>
      </w:hyperlink>
      <w:hyperlink r:id="rId8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92">
        <w:r>
          <w:rPr>
            <w:rFonts w:ascii="Times New Roman" w:cs="Times New Roman" w:eastAsia="Times New Roman" w:hAnsi="Times New Roman"/>
            <w:sz w:val="18"/>
            <w:szCs w:val="18"/>
            <w:u w:val="single" w:color="auto"/>
            <w:color w:val="0000FF"/>
          </w:rPr>
          <w:t>September 22, 2025</w:t>
        </w:r>
      </w:hyperlink>
      <w:hyperlink r:id="rId87">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FF"/>
        </w:rPr>
      </w:pPr>
    </w:p>
    <w:p>
      <w:pPr>
        <w:jc w:val="both"/>
        <w:ind w:left="880" w:hanging="436"/>
        <w:spacing w:after="0" w:line="266" w:lineRule="auto"/>
        <w:tabs>
          <w:tab w:leader="none" w:pos="880" w:val="left"/>
        </w:tabs>
        <w:numPr>
          <w:ilvl w:val="0"/>
          <w:numId w:val="40"/>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w:t>
      </w:r>
      <w:hyperlink r:id="rId93">
        <w:r>
          <w:rPr>
            <w:rFonts w:ascii="Times New Roman" w:cs="Times New Roman" w:eastAsia="Times New Roman" w:hAnsi="Times New Roman"/>
            <w:sz w:val="18"/>
            <w:szCs w:val="18"/>
            <w:color w:val="auto"/>
          </w:rPr>
          <w:t xml:space="preserve">31, 2024 from our </w:t>
        </w:r>
        <w:r>
          <w:rPr>
            <w:rFonts w:ascii="Times New Roman" w:cs="Times New Roman" w:eastAsia="Times New Roman" w:hAnsi="Times New Roman"/>
            <w:sz w:val="18"/>
            <w:szCs w:val="18"/>
            <w:u w:val="single" w:color="auto"/>
            <w:color w:val="0000FF"/>
          </w:rPr>
          <w:t>definitive proxy statement on Schedule 14A (other than information furnished rather than filed), which</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was filed with the SEC on April 23, 2025</w:t>
        </w:r>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FF"/>
        </w:rPr>
      </w:pPr>
    </w:p>
    <w:p>
      <w:pPr>
        <w:ind w:left="880" w:right="80" w:hanging="436"/>
        <w:spacing w:after="0" w:line="261" w:lineRule="auto"/>
        <w:tabs>
          <w:tab w:leader="none" w:pos="880" w:val="left"/>
        </w:tabs>
        <w:numPr>
          <w:ilvl w:val="0"/>
          <w:numId w:val="40"/>
        </w:numPr>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auto"/>
          </w:rPr>
          <w:t xml:space="preserve">the description of our common stock which is registered under Section 12 of the Exchange Act, in our </w:t>
        </w:r>
        <w:r>
          <w:rPr>
            <w:rFonts w:ascii="Times New Roman" w:cs="Times New Roman" w:eastAsia="Times New Roman" w:hAnsi="Times New Roman"/>
            <w:sz w:val="18"/>
            <w:szCs w:val="18"/>
            <w:u w:val="single" w:color="auto"/>
            <w:color w:val="0000FF"/>
          </w:rPr>
          <w:t>registration</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statement on Form 8-A, filed on September 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as updated by Exhibit 4.3 of our Annual Report on Form 10-K for</w:t>
        </w:r>
      </w:hyperlink>
      <w:r>
        <w:rPr>
          <w:rFonts w:ascii="Times New Roman" w:cs="Times New Roman" w:eastAsia="Times New Roman" w:hAnsi="Times New Roman"/>
          <w:sz w:val="18"/>
          <w:szCs w:val="18"/>
          <w:color w:val="0000FF"/>
        </w:rPr>
        <w:t xml:space="preserve"> </w:t>
      </w:r>
      <w:hyperlink r:id="rId95">
        <w:r>
          <w:rPr>
            <w:rFonts w:ascii="Times New Roman" w:cs="Times New Roman" w:eastAsia="Times New Roman" w:hAnsi="Times New Roman"/>
            <w:sz w:val="18"/>
            <w:szCs w:val="18"/>
            <w:u w:val="single" w:color="auto"/>
            <w:color w:val="0000FF"/>
          </w:rPr>
          <w:t>the year ended December 31, 2024</w:t>
        </w:r>
        <w:r>
          <w:rPr>
            <w:rFonts w:ascii="Times New Roman" w:cs="Times New Roman" w:eastAsia="Times New Roman" w:hAnsi="Times New Roman"/>
            <w:sz w:val="18"/>
            <w:szCs w:val="18"/>
            <w:color w:val="000000"/>
          </w:rPr>
          <w:t>, filed with the SEC on March 17, 2025, including any amendments or reports filed for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purpose of updating such description.</w:t>
      </w:r>
    </w:p>
    <w:p>
      <w:pPr>
        <w:spacing w:after="0" w:line="180" w:lineRule="exact"/>
        <w:rPr>
          <w:rFonts w:ascii="Times New Roman" w:cs="Times New Roman" w:eastAsia="Times New Roman" w:hAnsi="Times New Roman"/>
          <w:sz w:val="18"/>
          <w:szCs w:val="18"/>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We will furnish at no cost to you, on written or oral request, a copy of any or all of the reports or documents incorporated by reference in this prospectus, including exhibits to these documents. You should direct any requests for documents to MBX Biosciences, Inc., 11711 N. Meridian Street, Suite 300, Carmel, IN 46032.</w:t>
      </w:r>
    </w:p>
    <w:p>
      <w:pPr>
        <w:spacing w:after="0" w:line="176" w:lineRule="exact"/>
        <w:rPr>
          <w:rFonts w:ascii="Times New Roman" w:cs="Times New Roman" w:eastAsia="Times New Roman" w:hAnsi="Times New Roman"/>
          <w:sz w:val="18"/>
          <w:szCs w:val="18"/>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You also may access these filings on our website at https://mbxbio.com. We do not incorporate the information on our website in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 this prospectus or any supplement to this prospectus).</w:t>
      </w:r>
    </w:p>
    <w:p>
      <w:pPr>
        <w:spacing w:after="0" w:line="180" w:lineRule="exact"/>
        <w:rPr>
          <w:rFonts w:ascii="Times New Roman" w:cs="Times New Roman" w:eastAsia="Times New Roman" w:hAnsi="Times New Roman"/>
          <w:sz w:val="18"/>
          <w:szCs w:val="18"/>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76" w:lineRule="exact"/>
        <w:rPr>
          <w:rFonts w:ascii="Times New Roman" w:cs="Times New Roman" w:eastAsia="Times New Roman" w:hAnsi="Times New Roman"/>
          <w:sz w:val="18"/>
          <w:szCs w:val="18"/>
          <w:color w:val="auto"/>
        </w:rPr>
      </w:pPr>
    </w:p>
    <w:p>
      <w:pPr>
        <w:jc w:val="both"/>
        <w:ind w:right="40" w:firstLine="441"/>
        <w:spacing w:after="0" w:line="261" w:lineRule="auto"/>
        <w:rPr>
          <w:sz w:val="20"/>
          <w:szCs w:val="20"/>
          <w:color w:val="auto"/>
        </w:rPr>
      </w:pPr>
      <w:r>
        <w:rPr>
          <w:rFonts w:ascii="Times New Roman" w:cs="Times New Roman" w:eastAsia="Times New Roman" w:hAnsi="Times New Roman"/>
          <w:sz w:val="18"/>
          <w:szCs w:val="18"/>
          <w:color w:val="auto"/>
        </w:rPr>
        <w:t>You may read our SEC filings, including the registration statement, over the internet at the SEC’s website at www.sec.gov. We are subject to the information and reporting requirements of the Exchange Act, and, in accordance with this law, we must file periodic reports, proxy statements and other information with the SEC. These reports, proxy statements and other information are available on the website of the SEC referred to above.</w:t>
      </w:r>
    </w:p>
    <w:p>
      <w:pPr>
        <w:spacing w:after="0" w:line="180"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211" w:right="1119" w:bottom="1440" w:gutter="0" w:footer="0" w:header="0"/>
        </w:sectPr>
      </w:pPr>
    </w:p>
    <w:bookmarkStart w:id="45" w:name="page46"/>
    <w:bookmarkEnd w:id="45"/>
    <w:p>
      <w:pPr>
        <w:jc w:val="center"/>
        <w:ind w:right="99"/>
        <w:spacing w:after="0"/>
        <w:rPr>
          <w:sz w:val="20"/>
          <w:szCs w:val="20"/>
          <w:color w:val="auto"/>
        </w:rPr>
      </w:pPr>
      <w:r>
        <w:rPr>
          <w:rFonts w:ascii="Times New Roman" w:cs="Times New Roman" w:eastAsia="Times New Roman" w:hAnsi="Times New Roman"/>
          <w:sz w:val="32"/>
          <w:szCs w:val="32"/>
          <w:b w:val="1"/>
          <w:bCs w:val="1"/>
          <w:i w:val="1"/>
          <w:i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1503680</wp:posOffset>
            </wp:positionV>
            <wp:extent cx="2263140" cy="685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22631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i w:val="1"/>
          <w:iCs w:val="1"/>
          <w:color w:val="auto"/>
        </w:rPr>
        <w:t>Common Stock</w:t>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tabs>
          <w:tab w:leader="none" w:pos="260" w:val="left"/>
        </w:tabs>
        <w:rPr>
          <w:sz w:val="20"/>
          <w:szCs w:val="20"/>
          <w:color w:val="auto"/>
        </w:rPr>
      </w:pPr>
      <w:r>
        <w:rPr>
          <w:rFonts w:ascii="Times New Roman" w:cs="Times New Roman" w:eastAsia="Times New Roman" w:hAnsi="Times New Roman"/>
          <w:sz w:val="29"/>
          <w:szCs w:val="29"/>
          <w:b w:val="1"/>
          <w:bCs w:val="1"/>
          <w:color w:val="auto"/>
        </w:rPr>
        <w:t>J.P. Morgan  Jefferies</w:t>
        <w:tab/>
        <w:t>TD Cowen  Guggenheim Securities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tabs>
          <w:tab w:leader="none" w:pos="380" w:val="left"/>
        </w:tabs>
        <w:rPr>
          <w:sz w:val="20"/>
          <w:szCs w:val="20"/>
          <w:color w:val="auto"/>
        </w:rPr>
      </w:pPr>
      <w:r>
        <w:rPr>
          <w:rFonts w:ascii="Times New Roman" w:cs="Times New Roman" w:eastAsia="Times New Roman" w:hAnsi="Times New Roman"/>
          <w:sz w:val="25"/>
          <w:szCs w:val="25"/>
          <w:b w:val="1"/>
          <w:bCs w:val="1"/>
          <w:color w:val="auto"/>
        </w:rPr>
        <w:t>Citizens Capital Markets</w:t>
        <w:tab/>
        <w:t>Oppenheimer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624205</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84" w:right="1440" w:bottom="1440" w:gutter="0" w:footer="0" w:header="0"/>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underwriting discounts and commissions, to be paid by us in connection with the sale of the shares of common stock being registered hereby. All amounts shown are estimates except for the SEC registration fee, the FINRA filing fee and the Nasdaq Global Select Market initial listing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7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Blue Sky fees and expenses (including legal fees)</w:t>
            </w:r>
          </w:p>
        </w:tc>
        <w:tc>
          <w:tcPr>
            <w:tcW w:w="2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39,392</w:t>
            </w:r>
          </w:p>
        </w:tc>
        <w:tc>
          <w:tcPr>
            <w:tcW w:w="100" w:type="dxa"/>
            <w:vAlign w:val="bottom"/>
          </w:tcPr>
          <w:p>
            <w:pPr>
              <w:spacing w:after="0"/>
              <w:rPr>
                <w:sz w:val="18"/>
                <w:szCs w:val="18"/>
                <w:color w:val="auto"/>
              </w:rPr>
            </w:pPr>
          </w:p>
        </w:tc>
      </w:tr>
      <w:tr>
        <w:trPr>
          <w:trHeight w:val="249"/>
        </w:trPr>
        <w:tc>
          <w:tcPr>
            <w:tcW w:w="5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17"/>
          <w:szCs w:val="17"/>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73"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We have adopted provisions in our fourth amended and restated certificate of incorporation and our amended and restated bylaws that limit or eliminate the personal liability of our directors and officers to the fullest extent permitted by the DGCL, as it now exists or may in the future be amended. Consequently, a director or officer will not be personally liable to us or our stockholders for monetary damages or breach of fiduciary duty as a director or officer, except for liability for:</w:t>
      </w:r>
    </w:p>
    <w:p>
      <w:pPr>
        <w:spacing w:after="0" w:line="72" w:lineRule="exact"/>
        <w:rPr>
          <w:sz w:val="20"/>
          <w:szCs w:val="20"/>
          <w:color w:val="auto"/>
        </w:rPr>
      </w:pPr>
    </w:p>
    <w:p>
      <w:pPr>
        <w:ind w:left="880" w:hanging="436"/>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 or officer’s duty of loyalty to us or our stockholders;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880" w:right="240" w:hanging="436"/>
        <w:spacing w:after="0" w:line="282"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unlawful payments of dividends or unlawful stock repurchases, or redemptions as provided in Section 174 of the DGCL;</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225"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and officer liability under the federal securities laws and do not affect the availability of equitable remedies such as an injunction or rescission.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17" w:lineRule="exact"/>
        <w:rPr>
          <w:sz w:val="20"/>
          <w:szCs w:val="20"/>
          <w:color w:val="auto"/>
        </w:rPr>
      </w:pPr>
    </w:p>
    <w:p>
      <w:pPr>
        <w:ind w:left="880" w:right="220" w:hanging="436"/>
        <w:spacing w:after="0" w:line="282"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53" w:lineRule="exact"/>
        <w:rPr>
          <w:rFonts w:ascii="Times New Roman" w:cs="Times New Roman" w:eastAsia="Times New Roman" w:hAnsi="Times New Roman"/>
          <w:sz w:val="18"/>
          <w:szCs w:val="18"/>
          <w:color w:val="auto"/>
        </w:rPr>
      </w:pPr>
    </w:p>
    <w:p>
      <w:pPr>
        <w:ind w:left="880" w:right="320" w:hanging="436"/>
        <w:spacing w:after="0" w:line="266"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7" w:name="page48"/>
    <w:bookmarkEnd w:id="47"/>
    <w:p>
      <w:pPr>
        <w:ind w:firstLine="441"/>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92"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underwriting agreement will provide for indemnification of us and our directors and officers by the underwriters, and of the underwriters by us, against certain liabilities under the Securities Act and the Exchange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unregistered securities issued by us since September 1, 2022 to the date of this registration statement. Also included is the consideration received by us for such securities and information relating to the section of the Securities Act, or rule of the SEC, under which exemption from registration was claimed.</w:t>
      </w:r>
    </w:p>
    <w:p>
      <w:pPr>
        <w:spacing w:after="0" w:line="68" w:lineRule="exact"/>
        <w:rPr>
          <w:sz w:val="20"/>
          <w:szCs w:val="20"/>
          <w:color w:val="auto"/>
        </w:rPr>
      </w:pPr>
    </w:p>
    <w:p>
      <w:pPr>
        <w:ind w:left="880" w:hanging="436"/>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Securities</w:t>
      </w:r>
    </w:p>
    <w:p>
      <w:pPr>
        <w:spacing w:after="0" w:line="117" w:lineRule="exact"/>
        <w:rPr>
          <w:rFonts w:ascii="Times New Roman" w:cs="Times New Roman" w:eastAsia="Times New Roman" w:hAnsi="Times New Roman"/>
          <w:sz w:val="18"/>
          <w:szCs w:val="18"/>
          <w:color w:val="auto"/>
        </w:rPr>
      </w:pPr>
    </w:p>
    <w:p>
      <w:pPr>
        <w:ind w:left="1320" w:right="20" w:hanging="435"/>
        <w:spacing w:after="0" w:line="256" w:lineRule="auto"/>
        <w:tabs>
          <w:tab w:leader="none" w:pos="13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and August 2023, we issued an aggregate of 129,240,032 shares of our Series B preferred stock as follows: (a) 40,545,552 shares of Series B preferred stock sold at a purchase price of $0.90 per share at the initial closing for gross proceeds of $36.5 million, (b) 12,573,381 shares of Series B preferred stock which were converted pursuant to the conversion of the 2022 Notes and (c) 76,121,099 shares of Series B preferred stock sold at a purchase price of $0.90 per share pursuant to the achievement of certain development milestones for gross proceeds of $68.5 million.</w:t>
      </w:r>
    </w:p>
    <w:p>
      <w:pPr>
        <w:spacing w:after="0" w:line="79" w:lineRule="exact"/>
        <w:rPr>
          <w:rFonts w:ascii="Times New Roman" w:cs="Times New Roman" w:eastAsia="Times New Roman" w:hAnsi="Times New Roman"/>
          <w:sz w:val="18"/>
          <w:szCs w:val="18"/>
          <w:color w:val="auto"/>
        </w:rPr>
      </w:pPr>
    </w:p>
    <w:p>
      <w:pPr>
        <w:ind w:left="1320" w:right="120" w:hanging="435"/>
        <w:spacing w:after="0" w:line="282" w:lineRule="auto"/>
        <w:tabs>
          <w:tab w:leader="none" w:pos="13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issued an aggregate of 61,650,480 shares of our Series C preferred stock at a purchase price of $1.03 for gross proceeds of $63.5 million.</w:t>
      </w:r>
    </w:p>
    <w:p>
      <w:pPr>
        <w:spacing w:after="0" w:line="269"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w:t>
      </w:r>
    </w:p>
    <w:p>
      <w:pPr>
        <w:spacing w:after="0" w:line="117"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From September 1, 2022 through the date of this registration statement, we granted stock options to purchase an aggregate of 5,471,424 shares of our common stock pursuant to the 2019 Plan and 2024 Plan at a weighted average exercise price of $8.96 per share, to certain of our employees, directors and consultants in connection with services provided to us by such persons. 418,666 of these options have been exercised and 633,401 have been cancelled, forfeited and expired through the date of this registration statement.</w:t>
      </w:r>
    </w:p>
    <w:p>
      <w:pPr>
        <w:spacing w:after="0" w:line="291" w:lineRule="exact"/>
        <w:rPr>
          <w:sz w:val="20"/>
          <w:szCs w:val="20"/>
          <w:color w:val="auto"/>
        </w:rPr>
      </w:pPr>
    </w:p>
    <w:p>
      <w:pPr>
        <w:ind w:left="880" w:hanging="436"/>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of Preferred Stock</w:t>
      </w:r>
    </w:p>
    <w:p>
      <w:pPr>
        <w:spacing w:after="0" w:line="117" w:lineRule="exact"/>
        <w:rPr>
          <w:sz w:val="20"/>
          <w:szCs w:val="20"/>
          <w:color w:val="auto"/>
        </w:rPr>
      </w:pPr>
    </w:p>
    <w:p>
      <w:pPr>
        <w:ind w:right="200" w:firstLine="881"/>
        <w:spacing w:after="0" w:line="256" w:lineRule="auto"/>
        <w:rPr>
          <w:sz w:val="20"/>
          <w:szCs w:val="20"/>
          <w:color w:val="auto"/>
        </w:rPr>
      </w:pPr>
      <w:r>
        <w:rPr>
          <w:rFonts w:ascii="Times New Roman" w:cs="Times New Roman" w:eastAsia="Times New Roman" w:hAnsi="Times New Roman"/>
          <w:sz w:val="18"/>
          <w:szCs w:val="18"/>
          <w:color w:val="auto"/>
        </w:rPr>
        <w:t>On September 16, 2024, upon closing of our initial public offering, all shares of outstanding redeemable convertible preferred stock automatically converted into 20,336,599 shares of our common stock. The issuance of such shares of common stock was exempt from the registration requirements of the Securities Act, pursuant to Section 3(a)(9) of the Securities Act, involving an exchange of securities exchanged by the issuer with its existing security holders exclusively where no commission or other remuneration is paid or given directly or indirectly for soliciting such exchange. No underwriters were involved in this issuance of shares.</w:t>
      </w:r>
    </w:p>
    <w:p>
      <w:pPr>
        <w:spacing w:after="0" w:line="295" w:lineRule="exact"/>
        <w:rPr>
          <w:sz w:val="20"/>
          <w:szCs w:val="20"/>
          <w:color w:val="auto"/>
        </w:rPr>
      </w:pPr>
    </w:p>
    <w:p>
      <w:pPr>
        <w:ind w:left="880" w:hanging="436"/>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repurchases</w:t>
      </w:r>
    </w:p>
    <w:p>
      <w:pPr>
        <w:spacing w:after="0" w:line="117" w:lineRule="exact"/>
        <w:rPr>
          <w:sz w:val="20"/>
          <w:szCs w:val="20"/>
          <w:color w:val="auto"/>
        </w:rPr>
      </w:pPr>
    </w:p>
    <w:p>
      <w:pPr>
        <w:ind w:right="40" w:firstLine="881"/>
        <w:spacing w:after="0" w:line="282" w:lineRule="auto"/>
        <w:rPr>
          <w:sz w:val="20"/>
          <w:szCs w:val="20"/>
          <w:color w:val="auto"/>
        </w:rPr>
      </w:pPr>
      <w:r>
        <w:rPr>
          <w:rFonts w:ascii="Times New Roman" w:cs="Times New Roman" w:eastAsia="Times New Roman" w:hAnsi="Times New Roman"/>
          <w:sz w:val="18"/>
          <w:szCs w:val="18"/>
          <w:color w:val="auto"/>
        </w:rPr>
        <w:t>From September 1, 2022 through the date of this registration statement, we have repurchased 17,492 shares of our common stock from former employees at a weighted-average cash purchase price of $1.88 per share for an immaterial total fair value.</w:t>
      </w:r>
    </w:p>
    <w:p>
      <w:pPr>
        <w:spacing w:after="0" w:line="162" w:lineRule="exact"/>
        <w:rPr>
          <w:sz w:val="20"/>
          <w:szCs w:val="20"/>
          <w:color w:val="auto"/>
        </w:rPr>
      </w:pPr>
    </w:p>
    <w:p>
      <w:pPr>
        <w:ind w:right="60" w:firstLine="441"/>
        <w:spacing w:after="0" w:line="312" w:lineRule="auto"/>
        <w:rPr>
          <w:sz w:val="20"/>
          <w:szCs w:val="20"/>
          <w:color w:val="auto"/>
        </w:rPr>
      </w:pPr>
      <w:r>
        <w:rPr>
          <w:rFonts w:ascii="Times New Roman" w:cs="Times New Roman" w:eastAsia="Times New Roman" w:hAnsi="Times New Roman"/>
          <w:sz w:val="17"/>
          <w:szCs w:val="17"/>
          <w:color w:val="auto"/>
        </w:rPr>
        <w:t>None of the foregoing transactions involved any underwriters, underwriting discounts or commissions, or any public offering. Unless otherwise specified above, the Registrant believes these transactions were exempt from registration under the Securities Act in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201" w:right="1119" w:bottom="1440" w:gutter="0" w:footer="0" w:header="0"/>
        </w:sectPr>
      </w:pPr>
    </w:p>
    <w:bookmarkStart w:id="48" w:name="page49"/>
    <w:bookmarkEnd w:id="48"/>
    <w:p>
      <w:pPr>
        <w:spacing w:after="0" w:line="255" w:lineRule="auto"/>
        <w:rPr>
          <w:sz w:val="20"/>
          <w:szCs w:val="20"/>
          <w:color w:val="auto"/>
        </w:rPr>
      </w:pPr>
      <w:r>
        <w:rPr>
          <w:rFonts w:ascii="Times New Roman" w:cs="Times New Roman" w:eastAsia="Times New Roman" w:hAnsi="Times New Roman"/>
          <w:sz w:val="18"/>
          <w:szCs w:val="18"/>
          <w:color w:val="auto"/>
        </w:rPr>
        <w:t>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7" w:lineRule="exact"/>
        <w:rPr>
          <w:sz w:val="20"/>
          <w:szCs w:val="20"/>
          <w:color w:val="auto"/>
        </w:rPr>
      </w:pPr>
    </w:p>
    <w:p>
      <w:pPr>
        <w:ind w:left="440" w:hanging="436"/>
        <w:spacing w:after="0"/>
        <w:tabs>
          <w:tab w:leader="none" w:pos="4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121" w:lineRule="exact"/>
        <w:rPr>
          <w:rFonts w:ascii="Times New Roman" w:cs="Times New Roman" w:eastAsia="Times New Roman" w:hAnsi="Times New Roman"/>
          <w:sz w:val="18"/>
          <w:szCs w:val="18"/>
          <w:b w:val="1"/>
          <w:bCs w:val="1"/>
          <w:i w:val="1"/>
          <w:iCs w:val="1"/>
          <w:color w:val="auto"/>
        </w:rPr>
      </w:pPr>
    </w:p>
    <w:p>
      <w:pPr>
        <w:ind w:left="4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See Exhibit Index attached to this registration statement, which is incorporated by reference herein.</w:t>
      </w:r>
    </w:p>
    <w:p>
      <w:pPr>
        <w:spacing w:after="0" w:line="329" w:lineRule="exact"/>
        <w:rPr>
          <w:rFonts w:ascii="Times New Roman" w:cs="Times New Roman" w:eastAsia="Times New Roman" w:hAnsi="Times New Roman"/>
          <w:sz w:val="18"/>
          <w:szCs w:val="18"/>
          <w:b w:val="1"/>
          <w:bCs w:val="1"/>
          <w:i w:val="1"/>
          <w:iCs w:val="1"/>
          <w:color w:val="auto"/>
        </w:rPr>
      </w:pPr>
    </w:p>
    <w:p>
      <w:pPr>
        <w:ind w:left="440" w:right="6880" w:hanging="436"/>
        <w:spacing w:after="0" w:line="412" w:lineRule="auto"/>
        <w:tabs>
          <w:tab w:leader="none" w:pos="4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6"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sz w:val="20"/>
          <w:szCs w:val="20"/>
          <w:color w:val="auto"/>
        </w:rPr>
      </w:pPr>
    </w:p>
    <w:p>
      <w:pPr>
        <w:ind w:left="880" w:right="180" w:hanging="436"/>
        <w:spacing w:after="0" w:line="261"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1" w:lineRule="exact"/>
        <w:rPr>
          <w:rFonts w:ascii="Times New Roman" w:cs="Times New Roman" w:eastAsia="Times New Roman" w:hAnsi="Times New Roman"/>
          <w:sz w:val="18"/>
          <w:szCs w:val="18"/>
          <w:color w:val="auto"/>
        </w:rPr>
      </w:pPr>
    </w:p>
    <w:p>
      <w:pPr>
        <w:jc w:val="both"/>
        <w:ind w:left="880" w:right="40" w:hanging="436"/>
        <w:spacing w:after="0" w:line="266"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201" w:right="1139" w:bottom="1440" w:gutter="0" w:footer="0" w:header="0"/>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Exhibit Index</w:t>
      </w:r>
    </w:p>
    <w:p>
      <w:pPr>
        <w:sectPr>
          <w:pgSz w:w="11900" w:h="16838" w:orient="portrait"/>
          <w:cols w:equalWidth="0" w:num="1">
            <w:col w:w="9720"/>
          </w:cols>
          <w:pgMar w:left="1080" w:top="981" w:right="1099" w:bottom="1440" w:gutter="0" w:footer="0" w:header="0"/>
        </w:sect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-10160</wp:posOffset>
            </wp:positionV>
            <wp:extent cx="38144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24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0000FF"/>
        </w:rPr>
        <w:t>Form of Underwriting Agreement</w:t>
      </w:r>
    </w:p>
    <w:p>
      <w:pPr>
        <w:spacing w:after="0" w:line="131" w:lineRule="exact"/>
        <w:rPr>
          <w:sz w:val="20"/>
          <w:szCs w:val="20"/>
          <w:color w:val="auto"/>
        </w:rPr>
      </w:pPr>
    </w:p>
    <w:p>
      <w:pPr>
        <w:ind w:left="680" w:right="140" w:hanging="674"/>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05">
        <w:r>
          <w:rPr>
            <w:rFonts w:ascii="Times New Roman" w:cs="Times New Roman" w:eastAsia="Times New Roman" w:hAnsi="Times New Roman"/>
            <w:sz w:val="18"/>
            <w:szCs w:val="18"/>
            <w:u w:val="single" w:color="auto"/>
            <w:color w:val="0000FF"/>
          </w:rPr>
          <w:t>Fourth Amended and Restated Certificate of Incorporation of MBX Biosciences,</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Inc.</w:t>
        </w:r>
      </w:hyperlink>
    </w:p>
    <w:p>
      <w:pPr>
        <w:spacing w:after="0" w:line="67" w:lineRule="exact"/>
        <w:rPr>
          <w:sz w:val="20"/>
          <w:szCs w:val="20"/>
          <w:color w:val="auto"/>
        </w:rPr>
      </w:pPr>
    </w:p>
    <w:p>
      <w:pPr>
        <w:spacing w:after="0"/>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06">
        <w:r>
          <w:rPr>
            <w:rFonts w:ascii="Times New Roman" w:cs="Times New Roman" w:eastAsia="Times New Roman" w:hAnsi="Times New Roman"/>
            <w:sz w:val="18"/>
            <w:szCs w:val="18"/>
            <w:u w:val="single" w:color="auto"/>
            <w:color w:val="0000FF"/>
          </w:rPr>
          <w:t>Amended and Restated Bylaws of MBX Biosciences, Inc.</w:t>
        </w:r>
      </w:hyperlink>
    </w:p>
    <w:p>
      <w:pPr>
        <w:spacing w:after="0" w:line="131" w:lineRule="exact"/>
        <w:rPr>
          <w:sz w:val="20"/>
          <w:szCs w:val="20"/>
          <w:color w:val="auto"/>
        </w:rPr>
      </w:pPr>
    </w:p>
    <w:p>
      <w:pPr>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07">
        <w:r>
          <w:rPr>
            <w:rFonts w:ascii="Times New Roman" w:cs="Times New Roman" w:eastAsia="Times New Roman" w:hAnsi="Times New Roman"/>
            <w:sz w:val="17"/>
            <w:szCs w:val="17"/>
            <w:u w:val="single" w:color="auto"/>
            <w:color w:val="0000FF"/>
          </w:rPr>
          <w:t>Form of Common Stock Certificate</w:t>
        </w:r>
      </w:hyperlink>
    </w:p>
    <w:p>
      <w:pPr>
        <w:spacing w:after="0" w:line="131" w:lineRule="exact"/>
        <w:rPr>
          <w:sz w:val="20"/>
          <w:szCs w:val="20"/>
          <w:color w:val="auto"/>
        </w:rPr>
      </w:pPr>
    </w:p>
    <w:p>
      <w:pPr>
        <w:ind w:left="680" w:hanging="674"/>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08">
        <w:r>
          <w:rPr>
            <w:rFonts w:ascii="Times New Roman" w:cs="Times New Roman" w:eastAsia="Times New Roman" w:hAnsi="Times New Roman"/>
            <w:sz w:val="18"/>
            <w:szCs w:val="18"/>
            <w:u w:val="single" w:color="auto"/>
            <w:color w:val="0000FF"/>
          </w:rPr>
          <w:t>Second Amended and Restated Investors’ Rights Agreement among the Registrant</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and certain of its stockholders, dated August 2, 2024</w:t>
        </w:r>
      </w:hyperlink>
    </w:p>
    <w:p>
      <w:pPr>
        <w:spacing w:after="0" w:line="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Goodwin Procter LLP</w:t>
      </w:r>
    </w:p>
    <w:p>
      <w:pPr>
        <w:spacing w:after="0" w:line="131" w:lineRule="exact"/>
        <w:rPr>
          <w:sz w:val="20"/>
          <w:szCs w:val="20"/>
          <w:color w:val="auto"/>
        </w:rPr>
      </w:pPr>
    </w:p>
    <w:p>
      <w:pPr>
        <w:ind w:left="680" w:right="180" w:hanging="674"/>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09">
        <w:r>
          <w:rPr>
            <w:rFonts w:ascii="Times New Roman" w:cs="Times New Roman" w:eastAsia="Times New Roman" w:hAnsi="Times New Roman"/>
            <w:sz w:val="18"/>
            <w:szCs w:val="18"/>
            <w:u w:val="single" w:color="auto"/>
            <w:color w:val="0000FF"/>
          </w:rPr>
          <w:t>2019 Stock Option and Grant Plan, as amended, and forms of award agreements</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thereunder</w:t>
        </w:r>
      </w:hyperlink>
    </w:p>
    <w:p>
      <w:pPr>
        <w:spacing w:after="0" w:line="67" w:lineRule="exact"/>
        <w:rPr>
          <w:sz w:val="20"/>
          <w:szCs w:val="20"/>
          <w:color w:val="auto"/>
        </w:rPr>
      </w:pPr>
    </w:p>
    <w:p>
      <w:pPr>
        <w:spacing w:after="0"/>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10">
        <w:r>
          <w:rPr>
            <w:rFonts w:ascii="Times New Roman" w:cs="Times New Roman" w:eastAsia="Times New Roman" w:hAnsi="Times New Roman"/>
            <w:sz w:val="18"/>
            <w:szCs w:val="18"/>
            <w:u w:val="single" w:color="auto"/>
            <w:color w:val="0000FF"/>
          </w:rPr>
          <w:t>2024 Stock Option and Incentive Plan and forms of award agreements thereunder</w:t>
        </w:r>
      </w:hyperlink>
    </w:p>
    <w:p>
      <w:pPr>
        <w:spacing w:after="0" w:line="131" w:lineRule="exact"/>
        <w:rPr>
          <w:sz w:val="20"/>
          <w:szCs w:val="20"/>
          <w:color w:val="auto"/>
        </w:rPr>
      </w:pPr>
    </w:p>
    <w:p>
      <w:pPr>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11">
        <w:r>
          <w:rPr>
            <w:rFonts w:ascii="Times New Roman" w:cs="Times New Roman" w:eastAsia="Times New Roman" w:hAnsi="Times New Roman"/>
            <w:sz w:val="17"/>
            <w:szCs w:val="17"/>
            <w:u w:val="single" w:color="auto"/>
            <w:color w:val="0000FF"/>
          </w:rPr>
          <w:t>2024 Employee Stock Purchase Plan</w:t>
        </w:r>
      </w:hyperlink>
    </w:p>
    <w:p>
      <w:pPr>
        <w:spacing w:after="0" w:line="131" w:lineRule="exact"/>
        <w:rPr>
          <w:sz w:val="20"/>
          <w:szCs w:val="20"/>
          <w:color w:val="auto"/>
        </w:rPr>
      </w:pPr>
    </w:p>
    <w:p>
      <w:pPr>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12">
        <w:r>
          <w:rPr>
            <w:rFonts w:ascii="Times New Roman" w:cs="Times New Roman" w:eastAsia="Times New Roman" w:hAnsi="Times New Roman"/>
            <w:sz w:val="17"/>
            <w:szCs w:val="17"/>
            <w:u w:val="single" w:color="auto"/>
            <w:color w:val="0000FF"/>
          </w:rPr>
          <w:t>Form of Officer Indemnification Agreement</w:t>
        </w:r>
      </w:hyperlink>
    </w:p>
    <w:p>
      <w:pPr>
        <w:spacing w:after="0" w:line="131" w:lineRule="exact"/>
        <w:rPr>
          <w:sz w:val="20"/>
          <w:szCs w:val="20"/>
          <w:color w:val="auto"/>
        </w:rPr>
      </w:pPr>
    </w:p>
    <w:p>
      <w:pPr>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13">
        <w:r>
          <w:rPr>
            <w:rFonts w:ascii="Times New Roman" w:cs="Times New Roman" w:eastAsia="Times New Roman" w:hAnsi="Times New Roman"/>
            <w:sz w:val="17"/>
            <w:szCs w:val="17"/>
            <w:u w:val="single" w:color="auto"/>
            <w:color w:val="0000FF"/>
          </w:rPr>
          <w:t>Form of Director Indemnification Agreement</w:t>
        </w:r>
      </w:hyperlink>
    </w:p>
    <w:p>
      <w:pPr>
        <w:spacing w:after="0" w:line="131" w:lineRule="exact"/>
        <w:rPr>
          <w:sz w:val="20"/>
          <w:szCs w:val="20"/>
          <w:color w:val="auto"/>
        </w:rPr>
      </w:pPr>
    </w:p>
    <w:p>
      <w:pPr>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14">
        <w:r>
          <w:rPr>
            <w:rFonts w:ascii="Times New Roman" w:cs="Times New Roman" w:eastAsia="Times New Roman" w:hAnsi="Times New Roman"/>
            <w:sz w:val="17"/>
            <w:szCs w:val="17"/>
            <w:u w:val="single" w:color="auto"/>
            <w:color w:val="0000FF"/>
          </w:rPr>
          <w:t>Senior Cash Incentive Bonus Plan</w:t>
        </w:r>
      </w:hyperlink>
    </w:p>
    <w:p>
      <w:pPr>
        <w:spacing w:after="0" w:line="131" w:lineRule="exact"/>
        <w:rPr>
          <w:sz w:val="20"/>
          <w:szCs w:val="20"/>
          <w:color w:val="auto"/>
        </w:rPr>
      </w:pPr>
    </w:p>
    <w:p>
      <w:pPr>
        <w:spacing w:after="0"/>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15">
        <w:r>
          <w:rPr>
            <w:rFonts w:ascii="Times New Roman" w:cs="Times New Roman" w:eastAsia="Times New Roman" w:hAnsi="Times New Roman"/>
            <w:sz w:val="18"/>
            <w:szCs w:val="18"/>
            <w:u w:val="single" w:color="auto"/>
            <w:color w:val="0000FF"/>
          </w:rPr>
          <w:t>Non-Employee Director Compensation Policy</w:t>
        </w:r>
      </w:hyperlink>
    </w:p>
    <w:p>
      <w:pPr>
        <w:spacing w:after="0" w:line="131" w:lineRule="exact"/>
        <w:rPr>
          <w:sz w:val="20"/>
          <w:szCs w:val="20"/>
          <w:color w:val="auto"/>
        </w:rPr>
      </w:pPr>
    </w:p>
    <w:p>
      <w:pPr>
        <w:ind w:left="680" w:right="100" w:hanging="674"/>
        <w:spacing w:after="0" w:line="266"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16">
        <w:r>
          <w:rPr>
            <w:rFonts w:ascii="Times New Roman" w:cs="Times New Roman" w:eastAsia="Times New Roman" w:hAnsi="Times New Roman"/>
            <w:sz w:val="18"/>
            <w:szCs w:val="18"/>
            <w:u w:val="single" w:color="auto"/>
            <w:color w:val="0000FF"/>
          </w:rPr>
          <w:t>Exclusive License Agreement, dated as of June 10, 2020, between Indiana</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University Research and Technology Corporation and MBX Biosciences, Inc., as</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amended</w:t>
        </w:r>
      </w:hyperlink>
    </w:p>
    <w:p>
      <w:pPr>
        <w:spacing w:after="0" w:line="81" w:lineRule="exact"/>
        <w:rPr>
          <w:rFonts w:ascii="Times New Roman" w:cs="Times New Roman" w:eastAsia="Times New Roman" w:hAnsi="Times New Roman"/>
          <w:sz w:val="18"/>
          <w:szCs w:val="18"/>
          <w:u w:val="single" w:color="auto"/>
          <w:color w:val="0000FF"/>
        </w:rPr>
      </w:pPr>
    </w:p>
    <w:p>
      <w:pPr>
        <w:ind w:left="680" w:right="20" w:hanging="674"/>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17">
        <w:r>
          <w:rPr>
            <w:rFonts w:ascii="Times New Roman" w:cs="Times New Roman" w:eastAsia="Times New Roman" w:hAnsi="Times New Roman"/>
            <w:sz w:val="18"/>
            <w:szCs w:val="18"/>
            <w:u w:val="single" w:color="auto"/>
            <w:color w:val="0000FF"/>
          </w:rPr>
          <w:t>Office Lease between Zeller-Carmel Property, L.L.C. and MBX Biosciences, Inc.,</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dated April 28, 2022</w:t>
        </w:r>
      </w:hyperlink>
    </w:p>
    <w:p>
      <w:pPr>
        <w:spacing w:after="0" w:line="67" w:lineRule="exact"/>
        <w:rPr>
          <w:sz w:val="20"/>
          <w:szCs w:val="20"/>
          <w:color w:val="auto"/>
        </w:rPr>
      </w:pPr>
    </w:p>
    <w:p>
      <w:pPr>
        <w:ind w:left="680" w:right="300" w:hanging="674"/>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18">
        <w:r>
          <w:rPr>
            <w:rFonts w:ascii="Times New Roman" w:cs="Times New Roman" w:eastAsia="Times New Roman" w:hAnsi="Times New Roman"/>
            <w:sz w:val="18"/>
            <w:szCs w:val="18"/>
            <w:u w:val="single" w:color="auto"/>
            <w:color w:val="0000FF"/>
          </w:rPr>
          <w:t>First Amendment to Office Lease between Zeller-Carmel Property, L.L.C. and</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MBX Biosciences, Inc., dated May 9, 2025</w:t>
        </w:r>
      </w:hyperlink>
    </w:p>
    <w:p>
      <w:pPr>
        <w:spacing w:after="0" w:line="67" w:lineRule="exact"/>
        <w:rPr>
          <w:sz w:val="20"/>
          <w:szCs w:val="20"/>
          <w:color w:val="auto"/>
        </w:rPr>
      </w:pPr>
    </w:p>
    <w:p>
      <w:pPr>
        <w:ind w:left="680" w:right="80" w:hanging="674"/>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19">
        <w:r>
          <w:rPr>
            <w:rFonts w:ascii="Times New Roman" w:cs="Times New Roman" w:eastAsia="Times New Roman" w:hAnsi="Times New Roman"/>
            <w:sz w:val="18"/>
            <w:szCs w:val="18"/>
            <w:u w:val="single" w:color="auto"/>
            <w:color w:val="0000FF"/>
          </w:rPr>
          <w:t>Employment Agreement between the Registrant and P. Kent Hawryluk, President</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and Chief Executive Officer, effective September 16, 2024</w:t>
        </w:r>
      </w:hyperlink>
    </w:p>
    <w:p>
      <w:pPr>
        <w:spacing w:after="0" w:line="67" w:lineRule="exact"/>
        <w:rPr>
          <w:sz w:val="20"/>
          <w:szCs w:val="20"/>
          <w:color w:val="auto"/>
        </w:rPr>
      </w:pPr>
    </w:p>
    <w:p>
      <w:pPr>
        <w:ind w:left="680" w:right="440" w:hanging="674"/>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20">
        <w:r>
          <w:rPr>
            <w:rFonts w:ascii="Times New Roman" w:cs="Times New Roman" w:eastAsia="Times New Roman" w:hAnsi="Times New Roman"/>
            <w:sz w:val="18"/>
            <w:szCs w:val="18"/>
            <w:u w:val="single" w:color="auto"/>
            <w:color w:val="0000FF"/>
          </w:rPr>
          <w:t>Employment Agreement between the Registrant and Richard Bartram, Chief</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Financial Officer, effective September 16, 2024</w:t>
        </w:r>
      </w:hyperlink>
    </w:p>
    <w:p>
      <w:pPr>
        <w:spacing w:after="0" w:line="67" w:lineRule="exact"/>
        <w:rPr>
          <w:sz w:val="20"/>
          <w:szCs w:val="20"/>
          <w:color w:val="auto"/>
        </w:rPr>
      </w:pPr>
    </w:p>
    <w:p>
      <w:pPr>
        <w:ind w:left="680" w:right="360" w:hanging="674"/>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21">
        <w:r>
          <w:rPr>
            <w:rFonts w:ascii="Times New Roman" w:cs="Times New Roman" w:eastAsia="Times New Roman" w:hAnsi="Times New Roman"/>
            <w:sz w:val="18"/>
            <w:szCs w:val="18"/>
            <w:u w:val="single" w:color="auto"/>
            <w:color w:val="0000FF"/>
          </w:rPr>
          <w:t>Employment Agreement between the Registrant and Salomon Azoulay, Chief</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Medical Officer, effective September 16, 2024</w:t>
        </w:r>
      </w:hyperlink>
    </w:p>
    <w:p>
      <w:pPr>
        <w:spacing w:after="0" w:line="67" w:lineRule="exact"/>
        <w:rPr>
          <w:sz w:val="20"/>
          <w:szCs w:val="20"/>
          <w:color w:val="auto"/>
        </w:rPr>
      </w:pPr>
    </w:p>
    <w:p>
      <w:pPr>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122">
        <w:r>
          <w:rPr>
            <w:rFonts w:ascii="Times New Roman" w:cs="Times New Roman" w:eastAsia="Times New Roman" w:hAnsi="Times New Roman"/>
            <w:sz w:val="17"/>
            <w:szCs w:val="17"/>
            <w:u w:val="single" w:color="auto"/>
            <w:color w:val="0000FF"/>
          </w:rPr>
          <w:t>Subsidiaries of the Registrant</w:t>
        </w:r>
      </w:hyperlink>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Goodwin Procter LLP (included in Exhibit 5.1)</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FF"/>
        </w:rPr>
        <w:t>Power of Attorney (included on signature page)</w:t>
      </w:r>
    </w:p>
    <w:p>
      <w:pPr>
        <w:spacing w:after="0" w:line="131" w:lineRule="exact"/>
        <w:rPr>
          <w:sz w:val="20"/>
          <w:szCs w:val="20"/>
          <w:color w:val="auto"/>
        </w:rPr>
      </w:pPr>
    </w:p>
    <w:p>
      <w:pPr>
        <w:ind w:left="680" w:hanging="676"/>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216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780" w:type="dxa"/>
            <w:vAlign w:val="bottom"/>
            <w:tcBorders>
              <w:top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09/16/24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09/16/24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05/12/25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09/09/24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7"/>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X</w:t>
      </w:r>
    </w:p>
    <w:p>
      <w:pPr>
        <w:spacing w:after="0" w:line="140" w:lineRule="exact"/>
        <w:rPr>
          <w:sz w:val="20"/>
          <w:szCs w:val="20"/>
          <w:color w:val="auto"/>
        </w:rPr>
      </w:pPr>
    </w:p>
    <w:p>
      <w:pPr>
        <w:sectPr>
          <w:pgSz w:w="11900" w:h="16838" w:orient="portrait"/>
          <w:cols w:equalWidth="0" w:num="2">
            <w:col w:w="6640" w:space="160"/>
            <w:col w:w="2920"/>
          </w:cols>
          <w:pgMar w:left="1080" w:top="98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8229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right="420" w:firstLine="4"/>
        <w:spacing w:after="0" w:line="221" w:lineRule="auto"/>
        <w:tabs>
          <w:tab w:leader="none" w:pos="10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pursuant to Item 601 of Regulation S-K because it is both not material and is the type that the registrant treats as private or confidential.</w:t>
      </w:r>
    </w:p>
    <w:p>
      <w:pPr>
        <w:ind w:right="10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exhibits and schedules to these agreements have been omitted pursuant to Item 601(a)(5) and (6) of Regulation S-K. The registrant will furnish copies of any of the exhibits and schedules to the SEC upon request.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84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MBX Biosciences, Inc. has duly caused this registration statement on Form S-1 to be signed on its behalf by the undersigned, thereunto duly authorized, in the City of Carmel, Indiana, on the 22nd day of September, 2025.</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MBX Biosciences, Inc.</w:t>
      </w:r>
    </w:p>
    <w:p>
      <w:pPr>
        <w:spacing w:after="0" w:line="229" w:lineRule="exact"/>
        <w:rPr>
          <w:sz w:val="20"/>
          <w:szCs w:val="20"/>
          <w:color w:val="auto"/>
        </w:rPr>
      </w:pPr>
    </w:p>
    <w:p>
      <w:pPr>
        <w:ind w:left="6500"/>
        <w:spacing w:after="0"/>
        <w:tabs>
          <w:tab w:leader="none" w:pos="6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 Kent Hawryluk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17145</wp:posOffset>
            </wp:positionV>
            <wp:extent cx="21945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 Kent Hawryluk</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left="660" w:right="660" w:firstLine="441"/>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 Kent Hawryluk and Richard Bartram, and each of them, either of whom may act without the joinder of the other, as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her or their substitute or substitutes, may lawfully do or cause to be done or by virtue hereof.</w:t>
      </w:r>
    </w:p>
    <w:p>
      <w:pPr>
        <w:spacing w:after="0" w:line="194" w:lineRule="exact"/>
        <w:rPr>
          <w:sz w:val="20"/>
          <w:szCs w:val="20"/>
          <w:color w:val="auto"/>
        </w:rPr>
      </w:pPr>
    </w:p>
    <w:p>
      <w:pPr>
        <w:ind w:left="660" w:right="9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22nd day of September,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33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660" w:type="dxa"/>
            <w:vAlign w:val="bottom"/>
          </w:tcPr>
          <w:p>
            <w:pPr>
              <w:spacing w:after="0"/>
              <w:rPr>
                <w:sz w:val="18"/>
                <w:szCs w:val="18"/>
                <w:color w:val="auto"/>
              </w:rPr>
            </w:pPr>
          </w:p>
        </w:tc>
      </w:tr>
      <w:tr>
        <w:trPr>
          <w:trHeight w:val="341"/>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 Kent Hawryluk</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 Kent Hawryluk</w:t>
            </w:r>
          </w:p>
        </w:tc>
        <w:tc>
          <w:tcPr>
            <w:tcW w:w="100" w:type="dxa"/>
            <w:vAlign w:val="bottom"/>
          </w:tcPr>
          <w:p>
            <w:pPr>
              <w:spacing w:after="0"/>
              <w:rPr>
                <w:sz w:val="20"/>
                <w:szCs w:val="20"/>
                <w:color w:val="auto"/>
              </w:rPr>
            </w:pPr>
          </w:p>
        </w:tc>
        <w:tc>
          <w:tcPr>
            <w:tcW w:w="69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19"/>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Bartram</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Richard Bartram</w:t>
            </w:r>
          </w:p>
        </w:tc>
        <w:tc>
          <w:tcPr>
            <w:tcW w:w="100" w:type="dxa"/>
            <w:vAlign w:val="bottom"/>
          </w:tcPr>
          <w:p>
            <w:pPr>
              <w:spacing w:after="0"/>
              <w:rPr>
                <w:sz w:val="19"/>
                <w:szCs w:val="19"/>
                <w:color w:val="auto"/>
              </w:rPr>
            </w:pPr>
          </w:p>
        </w:tc>
        <w:tc>
          <w:tcPr>
            <w:tcW w:w="69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319"/>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Tiba Aynechi</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Tiba Aynechi</w:t>
            </w:r>
          </w:p>
        </w:tc>
        <w:tc>
          <w:tcPr>
            <w:tcW w:w="1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19"/>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 Cornelius</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James M. Cornelius</w:t>
            </w:r>
          </w:p>
        </w:tc>
        <w:tc>
          <w:tcPr>
            <w:tcW w:w="1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19"/>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J. Heron</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Patrick J. Heron</w:t>
            </w:r>
          </w:p>
        </w:tc>
        <w:tc>
          <w:tcPr>
            <w:tcW w:w="1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19"/>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Hoerter</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Steven L. Hoerter</w:t>
            </w:r>
          </w:p>
        </w:tc>
        <w:tc>
          <w:tcPr>
            <w:tcW w:w="1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19"/>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T. Mathers</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Edward T. Mathers</w:t>
            </w:r>
          </w:p>
        </w:tc>
        <w:tc>
          <w:tcPr>
            <w:tcW w:w="1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19"/>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Ora Pescovitz</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Ora Pescovitz</w:t>
            </w:r>
          </w:p>
        </w:tc>
        <w:tc>
          <w:tcPr>
            <w:tcW w:w="1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2"/>
        </w:trPr>
        <w:tc>
          <w:tcPr>
            <w:tcW w:w="66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Ryder</w:t>
            </w:r>
          </w:p>
        </w:tc>
        <w:tc>
          <w:tcPr>
            <w:tcW w:w="100" w:type="dxa"/>
            <w:vAlign w:val="bottom"/>
          </w:tcPr>
          <w:p>
            <w:pPr>
              <w:spacing w:after="0"/>
              <w:rPr>
                <w:sz w:val="24"/>
                <w:szCs w:val="24"/>
                <w:color w:val="auto"/>
              </w:rPr>
            </w:pPr>
          </w:p>
        </w:tc>
        <w:tc>
          <w:tcPr>
            <w:tcW w:w="6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Steven Ryder</w:t>
            </w:r>
          </w:p>
        </w:tc>
        <w:tc>
          <w:tcPr>
            <w:tcW w:w="1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630"/>
        </w:trPr>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II-5</w:t>
            </w:r>
          </w:p>
        </w:tc>
      </w:tr>
      <w:tr>
        <w:trPr>
          <w:trHeight w:val="763"/>
        </w:trPr>
        <w:tc>
          <w:tcPr>
            <w:tcW w:w="6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51" w:name="page52"/>
    <w:bookmarkEnd w:id="51"/>
    <w:p>
      <w:pPr>
        <w:ind w:left="9520"/>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MBX BIOSCIENCES, INC.</w:t>
      </w:r>
    </w:p>
    <w:p>
      <w:pPr>
        <w:spacing w:after="0" w:line="200" w:lineRule="exact"/>
        <w:rPr>
          <w:sz w:val="20"/>
          <w:szCs w:val="20"/>
          <w:color w:val="auto"/>
        </w:rPr>
      </w:pPr>
    </w:p>
    <w:p>
      <w:pPr>
        <w:spacing w:after="0" w:line="24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 ] Shares of Common Stock</w:t>
      </w:r>
    </w:p>
    <w:p>
      <w:pPr>
        <w:spacing w:after="0" w:line="20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Underwriting Agreement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September [●],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Representatives of the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several Underwriters listed</w:t>
      </w:r>
    </w:p>
    <w:p>
      <w:pPr>
        <w:ind w:left="440"/>
        <w:spacing w:after="0"/>
        <w:rPr>
          <w:sz w:val="20"/>
          <w:szCs w:val="20"/>
          <w:color w:val="auto"/>
        </w:rPr>
      </w:pPr>
      <w:r>
        <w:rPr>
          <w:rFonts w:ascii="Times New Roman" w:cs="Times New Roman" w:eastAsia="Times New Roman" w:hAnsi="Times New Roman"/>
          <w:sz w:val="22"/>
          <w:szCs w:val="22"/>
          <w:color w:val="auto"/>
        </w:rPr>
        <w:t>in Schedule 1 hereto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J.P. Morgan Securities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 Madison Avenue</w:t>
      </w:r>
    </w:p>
    <w:p>
      <w:pPr>
        <w:spacing w:after="0"/>
        <w:rPr>
          <w:sz w:val="20"/>
          <w:szCs w:val="20"/>
          <w:color w:val="auto"/>
        </w:rPr>
      </w:pPr>
      <w:r>
        <w:rPr>
          <w:rFonts w:ascii="Times New Roman" w:cs="Times New Roman" w:eastAsia="Times New Roman" w:hAnsi="Times New Roman"/>
          <w:sz w:val="22"/>
          <w:szCs w:val="22"/>
          <w:color w:val="auto"/>
        </w:rPr>
        <w:t>New York, New York 10179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MBX Biosciences, Inc., a Delaware corporation (the “Company”), proposes to issue and sell to the several underwriters listed in Schedule 1 hereto (the “Underwriters”), for whom you are acting as representatives (the “Representatives”), an aggregate of [ ] shares of common stock, par value $0.0001 per share (the “Common Stock”), of the Company (the “Underwritten Shares”). In addition, the Company proposes to issue and sell, at the option of the Underwriters, up to an additional [ ]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hereby confirms its agreement with the several Underwriters concerning the purchase and sale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as follows:</w:t>
      </w:r>
    </w:p>
    <w:p>
      <w:pPr>
        <w:spacing w:after="0" w:line="182" w:lineRule="exact"/>
        <w:rPr>
          <w:sz w:val="20"/>
          <w:szCs w:val="20"/>
          <w:color w:val="auto"/>
        </w:rPr>
      </w:pPr>
    </w:p>
    <w:p>
      <w:pPr>
        <w:ind w:right="260" w:firstLine="757"/>
        <w:spacing w:after="0" w:line="239"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 ]), including a prospectus, relating to the Shares. Such registration statement, as amended at the time it became effective,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1199515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2" w:name="page53"/>
    <w:bookmarkEnd w:id="52"/>
    <w:p>
      <w:pPr>
        <w:spacing w:after="0" w:line="233" w:lineRule="auto"/>
        <w:rPr>
          <w:sz w:val="20"/>
          <w:szCs w:val="20"/>
          <w:color w:val="auto"/>
        </w:rPr>
      </w:pPr>
      <w:r>
        <w:rPr>
          <w:rFonts w:ascii="Times New Roman" w:cs="Times New Roman" w:eastAsia="Times New Roman" w:hAnsi="Times New Roman"/>
          <w:sz w:val="22"/>
          <w:szCs w:val="22"/>
          <w:color w:val="auto"/>
        </w:rPr>
        <w:t>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S-1 under the Securities Act, as of the effective date of the Registration Statement or the date of such Preliminary Prospectus or the Prospectus, as the case may be. Capitalized terms used but not defined herein shall have the meanings given to such terms in the Registration Statement and the Prospectus.</w:t>
      </w:r>
    </w:p>
    <w:p>
      <w:pPr>
        <w:spacing w:after="0" w:line="180"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At or prior to the Applicable Time (as defined below), the Company had prepared the following information (collectively with the pricing information set forth on Annex A, the “Pricing Disclosure Package”): a Preliminary Prospectus dated September [ ], 2025 and each “free-writing prospectus” (as defined pursuant to Rule 405 under the Securities Act) listed on Annex A 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“Applicable Time” means [ ] [A/P].M., New York City time, on September [ ], 2025.</w:t>
      </w:r>
    </w:p>
    <w:p>
      <w:pPr>
        <w:spacing w:after="0" w:line="206" w:lineRule="exact"/>
        <w:rPr>
          <w:sz w:val="20"/>
          <w:szCs w:val="20"/>
          <w:color w:val="auto"/>
        </w:rPr>
      </w:pPr>
    </w:p>
    <w:p>
      <w:pPr>
        <w:ind w:left="1020" w:hanging="263"/>
        <w:spacing w:after="0"/>
        <w:tabs>
          <w:tab w:leader="none" w:pos="10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of the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57"/>
        <w:spacing w:after="0" w:line="238"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 (the “Purchase Price”) from the Company the respective number of Underwritten Shares set forth opposite such Underwriter’s name in Schedule 1 hereto.</w:t>
      </w:r>
    </w:p>
    <w:p>
      <w:pPr>
        <w:spacing w:after="0" w:line="177"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ind w:right="40"/>
        <w:spacing w:after="0" w:line="244" w:lineRule="auto"/>
        <w:rPr>
          <w:sz w:val="20"/>
          <w:szCs w:val="20"/>
          <w:color w:val="auto"/>
        </w:rPr>
      </w:pPr>
      <w:r>
        <w:rPr>
          <w:rFonts w:ascii="Times New Roman" w:cs="Times New Roman" w:eastAsia="Times New Roman" w:hAnsi="Times New Roman"/>
          <w:sz w:val="22"/>
          <w:szCs w:val="22"/>
          <w:color w:val="auto"/>
        </w:rPr>
        <w:t>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73"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21"/>
          <w:szCs w:val="21"/>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one business day prior to the date and time of delivery specified therein.</w:t>
      </w:r>
    </w:p>
    <w:p>
      <w:pPr>
        <w:spacing w:after="0" w:line="170"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(k)The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73" w:lineRule="exact"/>
        <w:rPr>
          <w:sz w:val="20"/>
          <w:szCs w:val="20"/>
          <w:color w:val="auto"/>
        </w:rPr>
      </w:pPr>
    </w:p>
    <w:p>
      <w:pPr>
        <w:ind w:right="120" w:firstLine="757"/>
        <w:spacing w:after="0" w:line="235"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for the Shares shall be made by wire transfer in immediately available funds to the account specified by the Company to the Representatives, in the case of the Underwritten Shares, at the offices of Davis Polk &amp; Wardwell LLP, 450 Lexington Avenue, New York, New York 10017, at 10:00 A.M. New York City time on September [ ], 2025,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78"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in definitive form registered in such names and in such denominations as the Representative shall request in writing not later than two full business days prior to the Closing Date or the Additional Closing Date, as the case may be, with any transfer taxes payable in connection with the sale of such Shares duly paid by the Company. Delivery of the Shares shall be made through the facilities of The Depository Trust Company (“DTC”) unless the Representatives shall otherwise instruct.</w:t>
      </w:r>
    </w:p>
    <w:p>
      <w:pPr>
        <w:spacing w:after="0" w:line="171" w:lineRule="exact"/>
        <w:rPr>
          <w:sz w:val="20"/>
          <w:szCs w:val="20"/>
          <w:color w:val="auto"/>
        </w:rPr>
      </w:pPr>
    </w:p>
    <w:p>
      <w:pPr>
        <w:jc w:val="both"/>
        <w:ind w:right="180" w:firstLine="749"/>
        <w:spacing w:after="0" w:line="239" w:lineRule="auto"/>
        <w:rPr>
          <w:sz w:val="20"/>
          <w:szCs w:val="20"/>
          <w:color w:val="auto"/>
        </w:rPr>
      </w:pPr>
      <w:r>
        <w:rPr>
          <w:rFonts w:ascii="Times New Roman" w:cs="Times New Roman" w:eastAsia="Times New Roman" w:hAnsi="Times New Roman"/>
          <w:sz w:val="22"/>
          <w:szCs w:val="22"/>
          <w:color w:val="auto"/>
        </w:rPr>
        <w:t>(m)The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ind w:right="60"/>
        <w:spacing w:after="0" w:line="235" w:lineRule="auto"/>
        <w:rPr>
          <w:sz w:val="20"/>
          <w:szCs w:val="20"/>
          <w:color w:val="auto"/>
        </w:rPr>
      </w:pPr>
      <w:r>
        <w:rPr>
          <w:rFonts w:ascii="Times New Roman" w:cs="Times New Roman" w:eastAsia="Times New Roman" w:hAnsi="Times New Roman"/>
          <w:sz w:val="22"/>
          <w:szCs w:val="22"/>
          <w:color w:val="auto"/>
        </w:rPr>
        <w:t>other Underwriter is advising the Company or any other person in connection with the offering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any other Underwriter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each Underwriter that:</w:t>
      </w:r>
    </w:p>
    <w:p>
      <w:pPr>
        <w:spacing w:after="0" w:line="202" w:lineRule="exact"/>
        <w:rPr>
          <w:sz w:val="20"/>
          <w:szCs w:val="20"/>
          <w:color w:val="auto"/>
        </w:rPr>
      </w:pPr>
    </w:p>
    <w:p>
      <w:pPr>
        <w:ind w:right="80" w:firstLine="757"/>
        <w:spacing w:after="0" w:line="235" w:lineRule="auto"/>
        <w:tabs>
          <w:tab w:leader="none" w:pos="101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Preliminary Prospectus. </w:t>
      </w:r>
      <w:r>
        <w:rPr>
          <w:rFonts w:ascii="Times New Roman" w:cs="Times New Roman" w:eastAsia="Times New Roman" w:hAnsi="Times New Roman"/>
          <w:sz w:val="22"/>
          <w:szCs w:val="22"/>
          <w:color w:val="auto"/>
        </w:rPr>
        <w:t>No order preventing or suspending the use of any Preliminary Prospectus has been issued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173" w:lineRule="exact"/>
        <w:rPr>
          <w:rFonts w:ascii="Times New Roman" w:cs="Times New Roman" w:eastAsia="Times New Roman" w:hAnsi="Times New Roman"/>
          <w:sz w:val="22"/>
          <w:szCs w:val="22"/>
          <w:color w:val="auto"/>
        </w:rPr>
      </w:pPr>
    </w:p>
    <w:p>
      <w:pPr>
        <w:ind w:firstLine="757"/>
        <w:spacing w:after="0" w:line="234" w:lineRule="auto"/>
        <w:tabs>
          <w:tab w:leader="none" w:pos="101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Pricing Disclosure Package</w:t>
      </w:r>
      <w:r>
        <w:rPr>
          <w:rFonts w:ascii="Times New Roman" w:cs="Times New Roman" w:eastAsia="Times New Roman" w:hAnsi="Times New Roman"/>
          <w:sz w:val="22"/>
          <w:szCs w:val="22"/>
          <w:color w:val="auto"/>
        </w:rPr>
        <w:t>. The Pricing Disclosure Package as of the Applicable Time did not, and as of the Closing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79" w:lineRule="exact"/>
        <w:rPr>
          <w:rFonts w:ascii="Times New Roman" w:cs="Times New Roman" w:eastAsia="Times New Roman" w:hAnsi="Times New Roman"/>
          <w:sz w:val="22"/>
          <w:szCs w:val="22"/>
          <w:color w:val="auto"/>
        </w:rPr>
      </w:pPr>
    </w:p>
    <w:p>
      <w:pPr>
        <w:ind w:right="120" w:firstLine="757"/>
        <w:spacing w:after="0" w:line="238" w:lineRule="auto"/>
        <w:tabs>
          <w:tab w:leader="none" w:pos="101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Issuer Free Writing Prospectus. </w:t>
      </w:r>
      <w:r>
        <w:rPr>
          <w:rFonts w:ascii="Times New Roman" w:cs="Times New Roman" w:eastAsia="Times New Roman" w:hAnsi="Times New Roman"/>
          <w:sz w:val="22"/>
          <w:szCs w:val="22"/>
          <w:color w:val="auto"/>
        </w:rPr>
        <w:t>Other than the Registration Statement, the Preliminary Prospectus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5" w:name="page56"/>
    <w:bookmarkEnd w:id="55"/>
    <w:p>
      <w:pPr>
        <w:spacing w:after="0" w:line="232" w:lineRule="auto"/>
        <w:rPr>
          <w:sz w:val="20"/>
          <w:szCs w:val="20"/>
          <w:color w:val="auto"/>
        </w:rPr>
      </w:pPr>
      <w:r>
        <w:rPr>
          <w:rFonts w:ascii="Times New Roman" w:cs="Times New Roman" w:eastAsia="Times New Roman" w:hAnsi="Times New Roman"/>
          <w:sz w:val="22"/>
          <w:szCs w:val="22"/>
          <w:color w:val="auto"/>
        </w:rPr>
        <w:t xml:space="preserve">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187"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i w:val="1"/>
          <w:iCs w:val="1"/>
          <w:color w:val="auto"/>
        </w:rPr>
        <w:t>Emerging Growth Company</w:t>
      </w:r>
      <w:r>
        <w:rPr>
          <w:rFonts w:ascii="Times New Roman" w:cs="Times New Roman" w:eastAsia="Times New Roman" w:hAnsi="Times New Roman"/>
          <w:sz w:val="22"/>
          <w:szCs w:val="22"/>
          <w:color w:val="auto"/>
        </w:rPr>
        <w:t>. From the time of initial confidential submission of the Registration Statement to the Commission through the date hereof, the Company has been and is an “emerging growth company,” as defined in Section 2(a) of the Securities Act (an “Emerging Growth Company”).</w:t>
      </w:r>
    </w:p>
    <w:p>
      <w:pPr>
        <w:spacing w:after="0" w:line="167" w:lineRule="exact"/>
        <w:rPr>
          <w:sz w:val="20"/>
          <w:szCs w:val="20"/>
          <w:color w:val="auto"/>
        </w:rPr>
      </w:pPr>
    </w:p>
    <w:p>
      <w:pPr>
        <w:ind w:firstLine="757"/>
        <w:spacing w:after="0" w:line="236"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Testing-the-Waters Materials. </w:t>
      </w:r>
      <w:r>
        <w:rPr>
          <w:rFonts w:ascii="Times New Roman" w:cs="Times New Roman" w:eastAsia="Times New Roman" w:hAnsi="Times New Roman"/>
          <w:sz w:val="22"/>
          <w:szCs w:val="22"/>
          <w:color w:val="auto"/>
        </w:rPr>
        <w:t>With respect to the transactions contemplated by this Agreement, the Company (i)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engaged in any Testing-the-Waters Communications and (ii) has not authorized anyone to engage in Testing-the-Waters Communications. “Testing-the-Waters Communication” means any oral or written communication with potential investors undertaken in reliance on either Section 5(d) of, or Rule 163B under, the Securities Act. The Company has not distributed or approved for distribution any Written Testing-the-Waters Communications. “Written Testing-the-Waters Communication” means any Testing-the-Waters Communication that is a written communication within the meaning of Rule 405 under the Securities Act.</w:t>
      </w:r>
    </w:p>
    <w:p>
      <w:pPr>
        <w:spacing w:after="0" w:line="175" w:lineRule="exact"/>
        <w:rPr>
          <w:rFonts w:ascii="Times New Roman" w:cs="Times New Roman" w:eastAsia="Times New Roman" w:hAnsi="Times New Roman"/>
          <w:sz w:val="22"/>
          <w:szCs w:val="22"/>
          <w:color w:val="auto"/>
        </w:rPr>
      </w:pPr>
    </w:p>
    <w:p>
      <w:pPr>
        <w:ind w:firstLine="757"/>
        <w:spacing w:after="0" w:line="236"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Registration Statement and Prospectus. </w:t>
      </w:r>
      <w:r>
        <w:rPr>
          <w:rFonts w:ascii="Times New Roman" w:cs="Times New Roman" w:eastAsia="Times New Roman" w:hAnsi="Times New Roman"/>
          <w:sz w:val="22"/>
          <w:szCs w:val="22"/>
          <w:color w:val="auto"/>
        </w:rPr>
        <w:t>The Registration Statement has been declared effective by the Commission.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56" w:name="page57"/>
    <w:bookmarkEnd w:id="56"/>
    <w:p>
      <w:pPr>
        <w:ind w:right="20"/>
        <w:spacing w:after="0" w:line="234" w:lineRule="auto"/>
        <w:rPr>
          <w:sz w:val="20"/>
          <w:szCs w:val="20"/>
          <w:color w:val="auto"/>
        </w:rPr>
      </w:pPr>
      <w:r>
        <w:rPr>
          <w:rFonts w:ascii="Times New Roman" w:cs="Times New Roman" w:eastAsia="Times New Roman" w:hAnsi="Times New Roman"/>
          <w:sz w:val="22"/>
          <w:szCs w:val="22"/>
          <w:color w:val="auto"/>
        </w:rPr>
        <w:t xml:space="preserve">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79" w:lineRule="exact"/>
        <w:rPr>
          <w:sz w:val="20"/>
          <w:szCs w:val="20"/>
          <w:color w:val="auto"/>
        </w:rPr>
      </w:pPr>
    </w:p>
    <w:p>
      <w:pPr>
        <w:ind w:right="120" w:firstLine="757"/>
        <w:spacing w:after="0" w:line="238" w:lineRule="auto"/>
        <w:tabs>
          <w:tab w:leader="none" w:pos="10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Incorporated Documents. </w:t>
      </w:r>
      <w:r>
        <w:rPr>
          <w:rFonts w:ascii="Times New Roman" w:cs="Times New Roman" w:eastAsia="Times New Roman" w:hAnsi="Times New Roman"/>
          <w:sz w:val="22"/>
          <w:szCs w:val="22"/>
          <w:color w:val="auto"/>
        </w:rPr>
        <w:t>The documents incorporated by reference in the Registration Statement, the Prospectus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Pricing Disclosure Package, when they were filed with the Commission conformed in all material respects to the requirements of the Securities Exchange Act of 1934, as amended (the “Exchange Act”), and none of such documents contained any untrue statement of a material fact or omitted to state a material fact necessary to make the statements therein, in the light of the circumstances under which they were made, not misleading.</w:t>
      </w:r>
    </w:p>
    <w:p>
      <w:pPr>
        <w:spacing w:after="0" w:line="176" w:lineRule="exact"/>
        <w:rPr>
          <w:rFonts w:ascii="Times New Roman" w:cs="Times New Roman" w:eastAsia="Times New Roman" w:hAnsi="Times New Roman"/>
          <w:sz w:val="22"/>
          <w:szCs w:val="22"/>
          <w:color w:val="auto"/>
        </w:rPr>
      </w:pPr>
    </w:p>
    <w:p>
      <w:pPr>
        <w:ind w:firstLine="757"/>
        <w:spacing w:after="0" w:line="244" w:lineRule="auto"/>
        <w:tabs>
          <w:tab w:leader="none" w:pos="101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Financial Statements. </w:t>
      </w:r>
      <w:r>
        <w:rPr>
          <w:rFonts w:ascii="Times New Roman" w:cs="Times New Roman" w:eastAsia="Times New Roman" w:hAnsi="Times New Roman"/>
          <w:sz w:val="21"/>
          <w:szCs w:val="21"/>
          <w:color w:val="auto"/>
        </w:rPr>
        <w:t>The financial statements (including the related notes thereto) of the Company included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any unaudited financial statements, which are subject to normal year 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the other financial information included in the Registration Statement, the Pricing Disclosure Package and the Prospectus has been derived from the accounting records of the Company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Commission) comply with Regulation G of the Exchange Act and Item 10 of Regulation S-K of the Securities Act, to the extent applicable.</w:t>
      </w:r>
    </w:p>
    <w:p>
      <w:pPr>
        <w:spacing w:after="0" w:line="180" w:lineRule="exact"/>
        <w:rPr>
          <w:rFonts w:ascii="Times New Roman" w:cs="Times New Roman" w:eastAsia="Times New Roman" w:hAnsi="Times New Roman"/>
          <w:sz w:val="21"/>
          <w:szCs w:val="21"/>
          <w:color w:val="auto"/>
        </w:rPr>
      </w:pPr>
    </w:p>
    <w:p>
      <w:pPr>
        <w:ind w:right="20" w:firstLine="757"/>
        <w:spacing w:after="0" w:line="241" w:lineRule="auto"/>
        <w:tabs>
          <w:tab w:leader="none" w:pos="10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Adverse Change. </w:t>
      </w:r>
      <w:r>
        <w:rPr>
          <w:rFonts w:ascii="Times New Roman" w:cs="Times New Roman" w:eastAsia="Times New Roman" w:hAnsi="Times New Roman"/>
          <w:sz w:val="22"/>
          <w:szCs w:val="22"/>
          <w:color w:val="auto"/>
        </w:rPr>
        <w:t>Since the date of the most recent financial statements of the Company included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incorporated by reference in the Registration 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7" w:name="page58"/>
    <w:bookmarkEnd w:id="57"/>
    <w:p>
      <w:pPr>
        <w:spacing w:after="0" w:line="246" w:lineRule="auto"/>
        <w:rPr>
          <w:sz w:val="20"/>
          <w:szCs w:val="20"/>
          <w:color w:val="auto"/>
        </w:rPr>
      </w:pPr>
      <w:r>
        <w:rPr>
          <w:rFonts w:ascii="Times New Roman" w:cs="Times New Roman" w:eastAsia="Times New Roman" w:hAnsi="Times New Roman"/>
          <w:sz w:val="21"/>
          <w:szCs w:val="21"/>
          <w:color w:val="auto"/>
        </w:rPr>
        <w:t>equity incentive plans described in, the Registration Statement, the Pricing Disclosure Package and the Prospectus), short-term debt or long-term debt of the Company,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(ii) the Company has not entered into any transaction or agreement (whether or not in the ordinary course of business) that is material to the Company or incurred any liability or obligation, direct or contingent, that is material to the Company; and (iii) the Company has not sustained any loss or interference with its business that is material to the Company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167" w:lineRule="exact"/>
        <w:rPr>
          <w:sz w:val="20"/>
          <w:szCs w:val="20"/>
          <w:color w:val="auto"/>
        </w:rPr>
      </w:pPr>
    </w:p>
    <w:p>
      <w:pPr>
        <w:ind w:right="140" w:firstLine="757"/>
        <w:spacing w:after="0" w:line="235"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Organization and Good Standing. </w:t>
      </w:r>
      <w:r>
        <w:rPr>
          <w:rFonts w:ascii="Times New Roman" w:cs="Times New Roman" w:eastAsia="Times New Roman" w:hAnsi="Times New Roman"/>
          <w:sz w:val="22"/>
          <w:szCs w:val="22"/>
          <w:color w:val="auto"/>
        </w:rPr>
        <w:t>The Company has been duly organized and is validly existing and in good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standing under the laws of its jurisdiction of organization, is duly qualified to do business and is in good standing in each jurisdiction in which its ownership or lease of property or the conduct of its business requires such qualification, and has all power and authority necessary to own or hold its properties and to conduct the business in which it is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or on the performance by the Company of its obligations under this Agreement (a “Material Adverse Effect”). The Company does not have any direct or indirect subsidiaries and does not own or control, directly or indirectly, any corporation, association or other entity.</w:t>
      </w:r>
    </w:p>
    <w:p>
      <w:pPr>
        <w:spacing w:after="0" w:line="173" w:lineRule="exact"/>
        <w:rPr>
          <w:rFonts w:ascii="Times New Roman" w:cs="Times New Roman" w:eastAsia="Times New Roman" w:hAnsi="Times New Roman"/>
          <w:sz w:val="22"/>
          <w:szCs w:val="22"/>
          <w:color w:val="auto"/>
        </w:rPr>
      </w:pPr>
    </w:p>
    <w:p>
      <w:pPr>
        <w:ind w:right="80" w:firstLine="757"/>
        <w:spacing w:after="0" w:line="234"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Capitalization. </w:t>
      </w:r>
      <w:r>
        <w:rPr>
          <w:rFonts w:ascii="Times New Roman" w:cs="Times New Roman" w:eastAsia="Times New Roman" w:hAnsi="Times New Roman"/>
          <w:sz w:val="22"/>
          <w:szCs w:val="22"/>
          <w:color w:val="auto"/>
        </w:rPr>
        <w:t>The Company has an authorized capitalization as set forth in the Registration Statement, the Pricing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Disclosure Package and the Prospectus under the heading “Capitalization”;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and the capital stock of the Company conforms in all material respects to the description thereof contained in the Registration Statement, the Pricing Disclosure Package and the Prospectus.</w:t>
      </w:r>
    </w:p>
    <w:p>
      <w:pPr>
        <w:spacing w:after="0" w:line="179" w:lineRule="exact"/>
        <w:rPr>
          <w:rFonts w:ascii="Times New Roman" w:cs="Times New Roman" w:eastAsia="Times New Roman" w:hAnsi="Times New Roman"/>
          <w:sz w:val="22"/>
          <w:szCs w:val="22"/>
          <w:color w:val="auto"/>
        </w:rPr>
      </w:pPr>
    </w:p>
    <w:p>
      <w:pPr>
        <w:ind w:right="380" w:firstLine="757"/>
        <w:spacing w:after="0" w:line="246"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Stock Options. </w:t>
      </w:r>
      <w:r>
        <w:rPr>
          <w:rFonts w:ascii="Times New Roman" w:cs="Times New Roman" w:eastAsia="Times New Roman" w:hAnsi="Times New Roman"/>
          <w:sz w:val="22"/>
          <w:szCs w:val="22"/>
          <w:color w:val="auto"/>
        </w:rPr>
        <w:t>With respect to the stock options (the “Stock Options”) granted pursuant to the stock-based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plans of the Company (the “Company Stock Plans”), (i) each Stock Option intended to qualify as an “incentive stock option” under Section 422 of the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spacing w:after="0" w:line="233" w:lineRule="auto"/>
        <w:rPr>
          <w:sz w:val="20"/>
          <w:szCs w:val="20"/>
          <w:color w:val="auto"/>
        </w:rPr>
      </w:pPr>
      <w:r>
        <w:rPr>
          <w:rFonts w:ascii="Times New Roman" w:cs="Times New Roman" w:eastAsia="Times New Roman" w:hAnsi="Times New Roman"/>
          <w:sz w:val="22"/>
          <w:szCs w:val="22"/>
          <w:color w:val="auto"/>
        </w:rPr>
        <w:t>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all material respects in accordance with the terms of the Company Stock Plans, the Exchange Act and all other applicable laws and regulatory rules or requirements, including the rules of the Nasdaq Global Select Market and (iv)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results of operations or prospects.</w:t>
      </w:r>
    </w:p>
    <w:p>
      <w:pPr>
        <w:spacing w:after="0" w:line="181" w:lineRule="exact"/>
        <w:rPr>
          <w:sz w:val="20"/>
          <w:szCs w:val="20"/>
          <w:color w:val="auto"/>
        </w:rPr>
      </w:pPr>
    </w:p>
    <w:p>
      <w:pPr>
        <w:ind w:right="40" w:firstLine="757"/>
        <w:spacing w:after="0" w:line="263" w:lineRule="auto"/>
        <w:tabs>
          <w:tab w:leader="none" w:pos="101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Due Authorization. </w:t>
      </w:r>
      <w:r>
        <w:rPr>
          <w:rFonts w:ascii="Times New Roman" w:cs="Times New Roman" w:eastAsia="Times New Roman" w:hAnsi="Times New Roman"/>
          <w:sz w:val="21"/>
          <w:szCs w:val="21"/>
          <w:color w:val="auto"/>
        </w:rPr>
        <w:t>The Company has full right, power and authority to execute and deliver this Agreement and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22"/>
          <w:szCs w:val="22"/>
          <w:i w:val="1"/>
          <w:iCs w:val="1"/>
          <w:color w:val="auto"/>
        </w:rPr>
        <w:t>Underwriting Agreement.</w:t>
      </w:r>
      <w:r>
        <w:rPr>
          <w:rFonts w:ascii="Times New Roman" w:cs="Times New Roman" w:eastAsia="Times New Roman" w:hAnsi="Times New Roman"/>
          <w:sz w:val="22"/>
          <w:szCs w:val="22"/>
          <w:color w:val="auto"/>
        </w:rPr>
        <w:t xml:space="preserve"> This Agreement has been duly authorized, executed and delivered by the Company.</w:t>
      </w:r>
    </w:p>
    <w:p>
      <w:pPr>
        <w:spacing w:after="0" w:line="206" w:lineRule="exact"/>
        <w:rPr>
          <w:sz w:val="20"/>
          <w:szCs w:val="20"/>
          <w:color w:val="auto"/>
        </w:rPr>
      </w:pPr>
    </w:p>
    <w:p>
      <w:pPr>
        <w:ind w:right="40" w:firstLine="757"/>
        <w:spacing w:after="0" w:line="238" w:lineRule="auto"/>
        <w:tabs>
          <w:tab w:leader="none" w:pos="10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The Shares. </w:t>
      </w:r>
      <w:r>
        <w:rPr>
          <w:rFonts w:ascii="Times New Roman" w:cs="Times New Roman" w:eastAsia="Times New Roman" w:hAnsi="Times New Roman"/>
          <w:sz w:val="22"/>
          <w:szCs w:val="22"/>
          <w:color w:val="auto"/>
        </w:rPr>
        <w:t>The Shares to be issued and sold by the Company hereunder have been duly authorized by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when issued and 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 that have not been duly waived or satisfied.</w:t>
      </w:r>
    </w:p>
    <w:p>
      <w:pPr>
        <w:spacing w:after="0" w:line="176" w:lineRule="exact"/>
        <w:rPr>
          <w:rFonts w:ascii="Times New Roman" w:cs="Times New Roman" w:eastAsia="Times New Roman" w:hAnsi="Times New Roman"/>
          <w:sz w:val="22"/>
          <w:szCs w:val="22"/>
          <w:color w:val="auto"/>
        </w:rPr>
      </w:pPr>
    </w:p>
    <w:p>
      <w:pPr>
        <w:ind w:right="340" w:firstLine="757"/>
        <w:spacing w:after="0" w:line="262" w:lineRule="auto"/>
        <w:tabs>
          <w:tab w:leader="none" w:pos="10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Descriptions of the Underwriting Agreement. </w:t>
      </w:r>
      <w:r>
        <w:rPr>
          <w:rFonts w:ascii="Times New Roman" w:cs="Times New Roman" w:eastAsia="Times New Roman" w:hAnsi="Times New Roman"/>
          <w:sz w:val="22"/>
          <w:szCs w:val="22"/>
          <w:color w:val="auto"/>
        </w:rPr>
        <w:t>This Agreement conforms in all material respects to the description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contained in the Registration Statement, the Pricing Disclosure Package and the Prospectus.</w:t>
      </w:r>
    </w:p>
    <w:p>
      <w:pPr>
        <w:spacing w:after="0" w:line="149" w:lineRule="exact"/>
        <w:rPr>
          <w:rFonts w:ascii="Times New Roman" w:cs="Times New Roman" w:eastAsia="Times New Roman" w:hAnsi="Times New Roman"/>
          <w:sz w:val="22"/>
          <w:szCs w:val="22"/>
          <w:color w:val="auto"/>
        </w:rPr>
      </w:pPr>
    </w:p>
    <w:p>
      <w:pPr>
        <w:ind w:right="60" w:firstLine="757"/>
        <w:spacing w:after="0" w:line="236" w:lineRule="auto"/>
        <w:tabs>
          <w:tab w:leader="none" w:pos="10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Violation or Default. </w:t>
      </w:r>
      <w:r>
        <w:rPr>
          <w:rFonts w:ascii="Times New Roman" w:cs="Times New Roman" w:eastAsia="Times New Roman" w:hAnsi="Times New Roman"/>
          <w:sz w:val="22"/>
          <w:szCs w:val="22"/>
          <w:color w:val="auto"/>
        </w:rPr>
        <w:t>The Company is not (i) in violation of its charter or by-laws or similar organizational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property or asset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9" w:name="page60"/>
    <w:bookmarkEnd w:id="59"/>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i w:val="1"/>
          <w:iCs w:val="1"/>
          <w:color w:val="auto"/>
        </w:rPr>
        <w:t>No Conflicts.</w:t>
      </w:r>
      <w:r>
        <w:rPr>
          <w:rFonts w:ascii="Times New Roman" w:cs="Times New Roman" w:eastAsia="Times New Roman" w:hAnsi="Times New Roman"/>
          <w:sz w:val="22"/>
          <w:szCs w:val="22"/>
          <w:color w:val="auto"/>
        </w:rPr>
        <w:t xml:space="preserve"> The execution, delivery and performance by the Company of this Agreement, the issuance and sale of the Shares by the Company and the consummation by the Company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pursuant to, any indenture, mortgage, deed of trust, loan agreement or other agreement or instrument to which the Company is a party or by which the Company is bound or to which any property, right or asset of the Company is subject, (ii) result in any violation of the provisions of the charter or by-laws or similar organizational documents of the Company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76"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21"/>
          <w:szCs w:val="21"/>
          <w:color w:val="auto"/>
        </w:rPr>
        <w:t>(bb)</w:t>
      </w:r>
      <w:r>
        <w:rPr>
          <w:rFonts w:ascii="Times New Roman" w:cs="Times New Roman" w:eastAsia="Times New Roman" w:hAnsi="Times New Roman"/>
          <w:sz w:val="21"/>
          <w:szCs w:val="21"/>
          <w:i w:val="1"/>
          <w:iCs w:val="1"/>
          <w:color w:val="auto"/>
        </w:rPr>
        <w:t>No Consents Required.</w:t>
      </w:r>
      <w:r>
        <w:rPr>
          <w:rFonts w:ascii="Times New Roman" w:cs="Times New Roman" w:eastAsia="Times New Roman" w:hAnsi="Times New Roman"/>
          <w:sz w:val="21"/>
          <w:szCs w:val="21"/>
          <w:color w:val="auto"/>
        </w:rPr>
        <w:t xml:space="preserve"> No consent, approval, authorization, order, registration or qualification of or with any court or arbitrator or 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16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(cc)</w:t>
      </w:r>
      <w:r>
        <w:rPr>
          <w:rFonts w:ascii="Times New Roman" w:cs="Times New Roman" w:eastAsia="Times New Roman" w:hAnsi="Times New Roman"/>
          <w:sz w:val="22"/>
          <w:szCs w:val="22"/>
          <w:i w:val="1"/>
          <w:iCs w:val="1"/>
          <w:color w:val="auto"/>
        </w:rPr>
        <w:t>Legal Proceedings.</w:t>
      </w:r>
      <w:r>
        <w:rPr>
          <w:rFonts w:ascii="Times New Roman" w:cs="Times New Roman" w:eastAsia="Times New Roman" w:hAnsi="Times New Roman"/>
          <w:sz w:val="22"/>
          <w:szCs w:val="22"/>
          <w:color w:val="auto"/>
        </w:rPr>
        <w:t xml:space="preserve"> Except as described in the Registration Statement, the Pricing Disclosure Package and the Prospectus, there are no legal, governmental or regulatory investigations, actions, demands, claims, suits, arbitrations, inquiries or proceedings (“Actions”) pending to which the Company is or may be a party or to which any property of the Company is or may be the subject that, individually or in the aggregate, if determined adversely to the Company, could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85"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21"/>
          <w:szCs w:val="21"/>
          <w:color w:val="auto"/>
        </w:rPr>
        <w:t>(dd)</w:t>
      </w:r>
      <w:r>
        <w:rPr>
          <w:rFonts w:ascii="Times New Roman" w:cs="Times New Roman" w:eastAsia="Times New Roman" w:hAnsi="Times New Roman"/>
          <w:sz w:val="21"/>
          <w:szCs w:val="21"/>
          <w:i w:val="1"/>
          <w:iCs w:val="1"/>
          <w:color w:val="auto"/>
        </w:rPr>
        <w:t>Independent Accountants</w:t>
      </w:r>
      <w:r>
        <w:rPr>
          <w:rFonts w:ascii="Times New Roman" w:cs="Times New Roman" w:eastAsia="Times New Roman" w:hAnsi="Times New Roman"/>
          <w:sz w:val="21"/>
          <w:szCs w:val="21"/>
          <w:color w:val="auto"/>
        </w:rPr>
        <w:t>. Ernst &amp; Young LLP, who has certified certain financial statements of the Company, is an independent registered public accounting firm with respect to the Company within the applicable rules and regulations adopted by the Commission and the Public Company Accounting Oversight Board (United States) and as required by the Securities Act.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0" w:name="page61"/>
    <w:bookmarkEnd w:id="60"/>
    <w:p>
      <w:pPr>
        <w:ind w:firstLine="749"/>
        <w:spacing w:after="0" w:line="238" w:lineRule="auto"/>
        <w:rPr>
          <w:sz w:val="20"/>
          <w:szCs w:val="20"/>
          <w:color w:val="auto"/>
        </w:rPr>
      </w:pPr>
      <w:r>
        <w:rPr>
          <w:rFonts w:ascii="Times New Roman" w:cs="Times New Roman" w:eastAsia="Times New Roman" w:hAnsi="Times New Roman"/>
          <w:sz w:val="22"/>
          <w:szCs w:val="22"/>
          <w:color w:val="auto"/>
        </w:rPr>
        <w:t>(ee)</w:t>
      </w:r>
      <w:r>
        <w:rPr>
          <w:rFonts w:ascii="Times New Roman" w:cs="Times New Roman" w:eastAsia="Times New Roman" w:hAnsi="Times New Roman"/>
          <w:sz w:val="22"/>
          <w:szCs w:val="22"/>
          <w:i w:val="1"/>
          <w:iCs w:val="1"/>
          <w:color w:val="auto"/>
        </w:rPr>
        <w:t>Title to Real and Personal Property.</w:t>
      </w:r>
      <w:r>
        <w:rPr>
          <w:rFonts w:ascii="Times New Roman" w:cs="Times New Roman" w:eastAsia="Times New Roman" w:hAnsi="Times New Roman"/>
          <w:sz w:val="22"/>
          <w:szCs w:val="22"/>
          <w:color w:val="auto"/>
        </w:rPr>
        <w:t xml:space="preserve"> The Company has good and marketable title in fee simple to, or has valid rights to lease or otherwise use, all items of real and personal property that are material to the business of the Company, in each case free and clear of all liens, encumbrances, claims and defects and imperfections of title except those that (i) do not materially interfere with the use made and proposed to be made of such property by the Company or (ii) could not reasonably be expected, individually or in the aggregate, to have a Material Adverse Effect.</w:t>
      </w:r>
    </w:p>
    <w:p>
      <w:pPr>
        <w:spacing w:after="0" w:line="177"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1"/>
          <w:szCs w:val="21"/>
          <w:color w:val="auto"/>
        </w:rPr>
        <w:t>(ff)</w:t>
      </w:r>
      <w:r>
        <w:rPr>
          <w:rFonts w:ascii="Times New Roman" w:cs="Times New Roman" w:eastAsia="Times New Roman" w:hAnsi="Times New Roman"/>
          <w:sz w:val="21"/>
          <w:szCs w:val="21"/>
          <w:i w:val="1"/>
          <w:iCs w:val="1"/>
          <w:color w:val="auto"/>
        </w:rPr>
        <w:t>Intellectual Property.</w:t>
      </w:r>
      <w:r>
        <w:rPr>
          <w:rFonts w:ascii="Times New Roman" w:cs="Times New Roman" w:eastAsia="Times New Roman" w:hAnsi="Times New Roman"/>
          <w:sz w:val="21"/>
          <w:szCs w:val="21"/>
          <w:color w:val="auto"/>
        </w:rPr>
        <w:t xml:space="preserve"> (i) The Company owns or has a valid and enforceable right to use all patents, trademarks, service marks, trade names, domain names and other source indicators, copyrights, copyrightable works, know-how, trade secrets, systems, procedures, proprietary or confidential information and all other intellectual property, industrial property and proprietary rights, and all registrations and applications for registration of, and all goodwill associated with, any of the foregoing (collectively, “Intellectual Property”), in each case used or held for use in the conduct of its business as conducted or proposed to be conducted in the Registration Statement, the Pricing Disclosure Package and the Prospectus; (ii) to the knowledge of the Company, the Company’s conduct of its business as currently conducted or as proposed to be conducted in the Registration Statement, the Pricing Disclosure Package or the Prospectus does not infringe, misappropriate or otherwise violate, and has not infringed, misappropriated or otherwise violated, any Intellectual Property of any third party; (iii) there is no pending or, to the knowledge of the Company, threatened action, suit, or proceeding by any third party (A) alleging that the Company has infringed, misappropriated or otherwise violated the Intellectual Property rights of any third party, or (B) challenging the inventorship, ownership, validity, scope or enforceability of, or any rights of the Company in, any Intellectual Property owned by or licensed to the Company; (iv) no Intellectual Property owned by or exclusively licensed to the Company has been adjudged by a court of competent jurisdiction to be invalid or unenforceable; (v) the Intellectual Property owned by the Company is exclusively owned by the Company free and clear of all liens, encumbrances, and security interests; (vi) to the knowledge of the Company, no third party has infringed, misappropriated or otherwise violated any Intellectual Property owned by or exclusively licensed to the Company; (vii) the Company has at all times taken reasonable steps in accordance with normal industry practice to appropriately protect, maintain and safeguard the confidentiality of all Intellectual Property, the value of which to the Company is contingent upon maintaining the confidentiality thereof, including requiring employees, contractors, consultants and other third parties who receive such Intellectual Property to execute appropriate confidentiality agreements; and (viii) all current and former employees and consultants and other parties involved in the development of Intellectual Property for the Company have signed agreements with the Company or, to the knowledge of the Company, a contractor of the Company, such that the Company either (A) has obtained, or has the right or option to obtain, exclusive ownership of such Intellectual Property, or (B) has obtained a right to exploit such Intellectual Property, sufficient for the conduct of its business as currently conducted or as proposed to be conducted in the Registration Statement, the Pricing Disclosure Package or the Prospectus.</w:t>
      </w:r>
    </w:p>
    <w:p>
      <w:pPr>
        <w:spacing w:after="0" w:line="17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color w:val="auto"/>
        </w:rPr>
        <w:t>(gg)</w:t>
      </w:r>
      <w:r>
        <w:rPr>
          <w:rFonts w:ascii="Times New Roman" w:cs="Times New Roman" w:eastAsia="Times New Roman" w:hAnsi="Times New Roman"/>
          <w:sz w:val="22"/>
          <w:szCs w:val="22"/>
          <w:i w:val="1"/>
          <w:iCs w:val="1"/>
          <w:color w:val="auto"/>
        </w:rPr>
        <w:t>No Undisclosed Relationships.</w:t>
      </w:r>
      <w:r>
        <w:rPr>
          <w:rFonts w:ascii="Times New Roman" w:cs="Times New Roman" w:eastAsia="Times New Roman" w:hAnsi="Times New Roman"/>
          <w:sz w:val="22"/>
          <w:szCs w:val="22"/>
          <w:color w:val="auto"/>
        </w:rPr>
        <w:t xml:space="preserve"> No relationship, direct or indirect, exists between or among the Company, on the one hand, and the directors, officers, stockholders, customers, suppliers or other affiliates of the Company, on the other, that is required by the Securities Act to</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1" w:name="page62"/>
    <w:bookmarkEnd w:id="61"/>
    <w:p>
      <w:pPr>
        <w:ind w:right="220"/>
        <w:spacing w:after="0" w:line="258" w:lineRule="auto"/>
        <w:rPr>
          <w:sz w:val="20"/>
          <w:szCs w:val="20"/>
          <w:color w:val="auto"/>
        </w:rPr>
      </w:pPr>
      <w:r>
        <w:rPr>
          <w:rFonts w:ascii="Times New Roman" w:cs="Times New Roman" w:eastAsia="Times New Roman" w:hAnsi="Times New Roman"/>
          <w:sz w:val="22"/>
          <w:szCs w:val="22"/>
          <w:color w:val="auto"/>
        </w:rPr>
        <w:t>be described in each of the Registration Statement and the Prospectus and that is not so described in such documents and in the Pricing Disclosure Package.</w:t>
      </w:r>
    </w:p>
    <w:p>
      <w:pPr>
        <w:spacing w:after="0" w:line="154"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(hh)</w:t>
      </w:r>
      <w:r>
        <w:rPr>
          <w:rFonts w:ascii="Times New Roman" w:cs="Times New Roman" w:eastAsia="Times New Roman" w:hAnsi="Times New Roman"/>
          <w:sz w:val="22"/>
          <w:szCs w:val="22"/>
          <w:i w:val="1"/>
          <w:iCs w:val="1"/>
          <w:color w:val="auto"/>
        </w:rPr>
        <w:t>Investment Company Act.</w:t>
      </w:r>
      <w:r>
        <w:rPr>
          <w:rFonts w:ascii="Times New Roman" w:cs="Times New Roman" w:eastAsia="Times New Roman" w:hAnsi="Times New Roman"/>
          <w:sz w:val="22"/>
          <w:szCs w:val="22"/>
          <w:color w:val="auto"/>
        </w:rPr>
        <w:t xml:space="preserve"> The Company is not and, after giving effect to the offering and sale of the Shares and the application of the proceeds thereof received by the Company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77" w:lineRule="exact"/>
        <w:rPr>
          <w:sz w:val="20"/>
          <w:szCs w:val="20"/>
          <w:color w:val="auto"/>
        </w:rPr>
      </w:pPr>
    </w:p>
    <w:p>
      <w:pPr>
        <w:jc w:val="both"/>
        <w:ind w:right="140" w:firstLine="749"/>
        <w:spacing w:after="0" w:line="250" w:lineRule="auto"/>
        <w:rPr>
          <w:sz w:val="20"/>
          <w:szCs w:val="20"/>
          <w:color w:val="auto"/>
        </w:rPr>
      </w:pPr>
      <w:r>
        <w:rPr>
          <w:rFonts w:ascii="Times New Roman" w:cs="Times New Roman" w:eastAsia="Times New Roman" w:hAnsi="Times New Roman"/>
          <w:sz w:val="21"/>
          <w:szCs w:val="21"/>
          <w:color w:val="auto"/>
        </w:rPr>
        <w:t>(ii)</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xml:space="preserve"> The Company has filed all tax returns required to be filed through the date hereof and paid all taxes required to be paid (except insofar as the failure to file or pay could not reasonably be expected to result in a Material Adverse Effect, or except taxes that are being contested in good faith and for which adequate reserves have been established by the Company).</w:t>
      </w:r>
    </w:p>
    <w:p>
      <w:pPr>
        <w:spacing w:after="0" w:line="2" w:lineRule="exact"/>
        <w:rPr>
          <w:sz w:val="20"/>
          <w:szCs w:val="20"/>
          <w:color w:val="auto"/>
        </w:rPr>
      </w:pPr>
    </w:p>
    <w:p>
      <w:pPr>
        <w:jc w:val="both"/>
        <w:ind w:right="140"/>
        <w:spacing w:after="0" w:line="235" w:lineRule="auto"/>
        <w:rPr>
          <w:sz w:val="20"/>
          <w:szCs w:val="20"/>
          <w:color w:val="auto"/>
        </w:rPr>
      </w:pPr>
      <w:r>
        <w:rPr>
          <w:rFonts w:ascii="Times New Roman" w:cs="Times New Roman" w:eastAsia="Times New Roman" w:hAnsi="Times New Roman"/>
          <w:sz w:val="22"/>
          <w:szCs w:val="22"/>
          <w:color w:val="auto"/>
        </w:rPr>
        <w:t>Except as otherwise disclosed in each of the Registration Statement, the Pricing Disclosure Package and the Prospectus, there is no tax deficiency that has been, or could reasonably be expected to be, asserted against the Company or any of its properties or assets and that could reasonably be expected to have a Material Adverse Effect.</w:t>
      </w:r>
    </w:p>
    <w:p>
      <w:pPr>
        <w:spacing w:after="0" w:line="174"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(jj)</w:t>
      </w:r>
      <w:r>
        <w:rPr>
          <w:rFonts w:ascii="Times New Roman" w:cs="Times New Roman" w:eastAsia="Times New Roman" w:hAnsi="Times New Roman"/>
          <w:sz w:val="22"/>
          <w:szCs w:val="22"/>
          <w:i w:val="1"/>
          <w:iCs w:val="1"/>
          <w:color w:val="auto"/>
        </w:rPr>
        <w:t>Licenses and Permits.</w:t>
      </w:r>
      <w:r>
        <w:rPr>
          <w:rFonts w:ascii="Times New Roman" w:cs="Times New Roman" w:eastAsia="Times New Roman" w:hAnsi="Times New Roman"/>
          <w:sz w:val="22"/>
          <w:szCs w:val="22"/>
          <w:color w:val="auto"/>
        </w:rPr>
        <w:t xml:space="preserve"> The Company possesses all licenses, sub-licenses, certificates, permits and other authorizations issued by, and has made all declarations and filings with, the appropriate federal, state, local or foreign governmental or regulatory authorities that are necessary for the ownership or lease of its properties or the conduct of its business as described in each of the Registration Statement, the Pricing Disclosure Package and the Prospectus, including, without limitation, from the U.S. Food and Drug Administration (the “FDA”), except where the failure to possess or make the same would not, individually or in the aggregate, have a Material Adverse Effect; and except as described in each of the Registration Statement, the Pricing Disclosure Package and the Prospectus, the Company has not received written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reasonably be expected to, individually or in the aggregate, have a Material Adverse Effect.</w:t>
      </w:r>
    </w:p>
    <w:p>
      <w:pPr>
        <w:spacing w:after="0" w:line="176"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(kk)</w:t>
      </w:r>
      <w:r>
        <w:rPr>
          <w:rFonts w:ascii="Times New Roman" w:cs="Times New Roman" w:eastAsia="Times New Roman" w:hAnsi="Times New Roman"/>
          <w:sz w:val="22"/>
          <w:szCs w:val="22"/>
          <w:i w:val="1"/>
          <w:iCs w:val="1"/>
          <w:color w:val="auto"/>
        </w:rPr>
        <w:t>No Labor Disputes.</w:t>
      </w:r>
      <w:r>
        <w:rPr>
          <w:rFonts w:ascii="Times New Roman" w:cs="Times New Roman" w:eastAsia="Times New Roman" w:hAnsi="Times New Roman"/>
          <w:sz w:val="22"/>
          <w:szCs w:val="22"/>
          <w:color w:val="auto"/>
        </w:rPr>
        <w:t xml:space="preserve"> No labor disturbance by or dispute with employees of the Company exists or, to the knowledge of the Company, is contemplated or threatened, and the Company is not aware of any existing or imminent labor disturbance by, or dispute with, the employees of any of its principal suppliers, contractors or customers, except as would not have a Material Adverse Effect. The Company has not received any notice of cancellation or termination with respect to any collective bargaining agreement to which it is a party.</w:t>
      </w:r>
    </w:p>
    <w:p>
      <w:pPr>
        <w:spacing w:after="0" w:line="177"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21"/>
          <w:szCs w:val="21"/>
          <w:color w:val="auto"/>
        </w:rPr>
        <w:t>(ll)</w:t>
      </w:r>
      <w:r>
        <w:rPr>
          <w:rFonts w:ascii="Times New Roman" w:cs="Times New Roman" w:eastAsia="Times New Roman" w:hAnsi="Times New Roman"/>
          <w:sz w:val="21"/>
          <w:szCs w:val="21"/>
          <w:i w:val="1"/>
          <w:iCs w:val="1"/>
          <w:color w:val="auto"/>
        </w:rPr>
        <w:t>Certain Environmental Matters</w:t>
      </w:r>
      <w:r>
        <w:rPr>
          <w:rFonts w:ascii="Times New Roman" w:cs="Times New Roman" w:eastAsia="Times New Roman" w:hAnsi="Times New Roman"/>
          <w:sz w:val="21"/>
          <w:szCs w:val="21"/>
          <w:color w:val="auto"/>
        </w:rPr>
        <w:t>. (i) The Company (x) is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2" w:name="page63"/>
    <w:bookmarkEnd w:id="62"/>
    <w:p>
      <w:pPr>
        <w:spacing w:after="0" w:line="232" w:lineRule="auto"/>
        <w:rPr>
          <w:sz w:val="20"/>
          <w:szCs w:val="20"/>
          <w:color w:val="auto"/>
        </w:rPr>
      </w:pPr>
      <w:r>
        <w:rPr>
          <w:rFonts w:ascii="Times New Roman" w:cs="Times New Roman" w:eastAsia="Times New Roman" w:hAnsi="Times New Roman"/>
          <w:sz w:val="22"/>
          <w:szCs w:val="22"/>
          <w:color w:val="auto"/>
        </w:rPr>
        <w:t>environment, natural resources, hazardous or toxic substances or wastes, pollutants or contaminants (collectively, “Environmental Laws”); (y) has received and is in compliance with all, and has not violated any, permits, licenses, certificates or other authorizations or approvals required of it under any Environmental Laws to conduct its business; and (z) has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has no knowledge of any event or condition that would reasonably be expected to result in any such notice; (ii) there are no costs or liabilities associated with Environmental Laws of or relating to the Company,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under any Environmental Laws in which a governmental entity is also a party, other than such proceeding regarding which it is reasonably believed no monetary sanctions of $100,000 or more will be imposed, (y) the Company is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(z) the Company does not anticipate material capital expenditures relating to any Environmental Laws.</w:t>
      </w:r>
    </w:p>
    <w:p>
      <w:pPr>
        <w:spacing w:after="0" w:line="187" w:lineRule="exact"/>
        <w:rPr>
          <w:sz w:val="20"/>
          <w:szCs w:val="20"/>
          <w:color w:val="auto"/>
        </w:rPr>
      </w:pPr>
    </w:p>
    <w:p>
      <w:pPr>
        <w:ind w:right="60" w:firstLine="749"/>
        <w:spacing w:after="0" w:line="232" w:lineRule="auto"/>
        <w:rPr>
          <w:sz w:val="20"/>
          <w:szCs w:val="20"/>
          <w:color w:val="auto"/>
        </w:rPr>
      </w:pPr>
      <w:r>
        <w:rPr>
          <w:rFonts w:ascii="Times New Roman" w:cs="Times New Roman" w:eastAsia="Times New Roman" w:hAnsi="Times New Roman"/>
          <w:sz w:val="22"/>
          <w:szCs w:val="22"/>
          <w:color w:val="auto"/>
        </w:rPr>
        <w:t>(mm)</w:t>
      </w:r>
      <w:r>
        <w:rPr>
          <w:rFonts w:ascii="Times New Roman" w:cs="Times New Roman" w:eastAsia="Times New Roman" w:hAnsi="Times New Roman"/>
          <w:sz w:val="22"/>
          <w:szCs w:val="22"/>
          <w:i w:val="1"/>
          <w:iCs w:val="1"/>
          <w:color w:val="auto"/>
        </w:rPr>
        <w:t>Compliance with ERISA</w:t>
      </w:r>
      <w:r>
        <w:rPr>
          <w:rFonts w:ascii="Times New Roman" w:cs="Times New Roman" w:eastAsia="Times New Roman" w:hAnsi="Times New Roman"/>
          <w:sz w:val="22"/>
          <w:szCs w:val="22"/>
          <w:color w:val="auto"/>
        </w:rPr>
        <w:t>.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to the knowledge of the Company, whether by action or by failure to act, which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spacing w:after="0" w:line="233" w:lineRule="auto"/>
        <w:rPr>
          <w:sz w:val="20"/>
          <w:szCs w:val="20"/>
          <w:color w:val="auto"/>
        </w:rPr>
      </w:pPr>
      <w:r>
        <w:rPr>
          <w:rFonts w:ascii="Times New Roman" w:cs="Times New Roman" w:eastAsia="Times New Roman" w:hAnsi="Times New Roman"/>
          <w:sz w:val="22"/>
          <w:szCs w:val="22"/>
          <w:color w:val="auto"/>
        </w:rPr>
        <w:t>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Company’s “accumulated post-retirement benefit obligations” (within the meaning of Accounting Standards Codification Topic 715-60) compared to the amount of such obligations in the Company’s most recently completed fiscal year, except in each case with respect to the events or conditions set forth in (i) through (ix) hereof, as would not, individually or in the aggregate, have a Material Adverse Effect.</w:t>
      </w:r>
    </w:p>
    <w:p>
      <w:pPr>
        <w:spacing w:after="0" w:line="183" w:lineRule="exact"/>
        <w:rPr>
          <w:sz w:val="20"/>
          <w:szCs w:val="20"/>
          <w:color w:val="auto"/>
        </w:rPr>
      </w:pPr>
    </w:p>
    <w:p>
      <w:pPr>
        <w:ind w:right="100" w:firstLine="749"/>
        <w:spacing w:after="0" w:line="248" w:lineRule="auto"/>
        <w:rPr>
          <w:sz w:val="20"/>
          <w:szCs w:val="20"/>
          <w:color w:val="auto"/>
        </w:rPr>
      </w:pPr>
      <w:r>
        <w:rPr>
          <w:rFonts w:ascii="Times New Roman" w:cs="Times New Roman" w:eastAsia="Times New Roman" w:hAnsi="Times New Roman"/>
          <w:sz w:val="21"/>
          <w:szCs w:val="21"/>
          <w:color w:val="auto"/>
        </w:rPr>
        <w:t>(nn)</w:t>
      </w:r>
      <w:r>
        <w:rPr>
          <w:rFonts w:ascii="Times New Roman" w:cs="Times New Roman" w:eastAsia="Times New Roman" w:hAnsi="Times New Roman"/>
          <w:sz w:val="21"/>
          <w:szCs w:val="21"/>
          <w:i w:val="1"/>
          <w:iCs w:val="1"/>
          <w:color w:val="auto"/>
        </w:rPr>
        <w:t>Disclosure Controls</w:t>
      </w:r>
      <w:r>
        <w:rPr>
          <w:rFonts w:ascii="Times New Roman" w:cs="Times New Roman" w:eastAsia="Times New Roman" w:hAnsi="Times New Roman"/>
          <w:sz w:val="21"/>
          <w:szCs w:val="21"/>
          <w:color w:val="auto"/>
        </w:rPr>
        <w:t>. The Company maintains an effective system of “disclosure controls and procedures” (as defined 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their disclosure controls and procedures as required by Rule 13a-15 of the Exchange Act.</w:t>
      </w:r>
    </w:p>
    <w:p>
      <w:pPr>
        <w:spacing w:after="0" w:line="17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1"/>
          <w:szCs w:val="21"/>
          <w:color w:val="auto"/>
        </w:rPr>
        <w:t>(oo)</w:t>
      </w:r>
      <w:r>
        <w:rPr>
          <w:rFonts w:ascii="Times New Roman" w:cs="Times New Roman" w:eastAsia="Times New Roman" w:hAnsi="Times New Roman"/>
          <w:sz w:val="21"/>
          <w:szCs w:val="21"/>
          <w:i w:val="1"/>
          <w:iCs w:val="1"/>
          <w:color w:val="auto"/>
        </w:rPr>
        <w:t>Accounting Controls.</w:t>
      </w:r>
      <w:r>
        <w:rPr>
          <w:rFonts w:ascii="Times New Roman" w:cs="Times New Roman" w:eastAsia="Times New Roman" w:hAnsi="Times New Roman"/>
          <w:sz w:val="21"/>
          <w:szCs w:val="21"/>
          <w:color w:val="auto"/>
        </w:rPr>
        <w:t xml:space="preserve"> The Company maintains systems of “internal control over financial reporting” (as defined in Rule 13a-15(f) of the Exchange Act) that comply with the applicable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The Company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w:t>
      </w:r>
    </w:p>
    <w:p>
      <w:pPr>
        <w:spacing w:after="0" w:line="8" w:lineRule="exact"/>
        <w:rPr>
          <w:sz w:val="20"/>
          <w:szCs w:val="20"/>
          <w:color w:val="auto"/>
        </w:rPr>
      </w:pPr>
    </w:p>
    <w:p>
      <w:pPr>
        <w:ind w:right="260" w:firstLine="8"/>
        <w:spacing w:after="0" w:line="232" w:lineRule="auto"/>
        <w:tabs>
          <w:tab w:leader="none" w:pos="36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the Pricing Disclosure Package and the Prospectus, there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64" w:name="page65"/>
    <w:bookmarkEnd w:id="64"/>
    <w:p>
      <w:pPr>
        <w:ind w:right="60"/>
        <w:spacing w:after="0" w:line="236" w:lineRule="auto"/>
        <w:rPr>
          <w:sz w:val="20"/>
          <w:szCs w:val="20"/>
          <w:color w:val="auto"/>
        </w:rPr>
      </w:pPr>
      <w:r>
        <w:rPr>
          <w:rFonts w:ascii="Times New Roman" w:cs="Times New Roman" w:eastAsia="Times New Roman" w:hAnsi="Times New Roman"/>
          <w:sz w:val="22"/>
          <w:szCs w:val="22"/>
          <w:color w:val="auto"/>
        </w:rPr>
        <w:t>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77"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2"/>
          <w:szCs w:val="22"/>
          <w:color w:val="auto"/>
        </w:rPr>
        <w:t>(pp)</w:t>
      </w:r>
      <w:r>
        <w:rPr>
          <w:rFonts w:ascii="Times New Roman" w:cs="Times New Roman" w:eastAsia="Times New Roman" w:hAnsi="Times New Roman"/>
          <w:sz w:val="22"/>
          <w:szCs w:val="22"/>
          <w:i w:val="1"/>
          <w:iCs w:val="1"/>
          <w:color w:val="auto"/>
        </w:rPr>
        <w:t>eXtensible Business Reporting Language.</w:t>
      </w:r>
      <w:r>
        <w:rPr>
          <w:rFonts w:ascii="Times New Roman" w:cs="Times New Roman" w:eastAsia="Times New Roman" w:hAnsi="Times New Roman"/>
          <w:sz w:val="22"/>
          <w:szCs w:val="22"/>
          <w:color w:val="auto"/>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67"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(qq)</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xml:space="preserve"> The Company has insurance covering its properties, operations, personnel and business, including business interruption insurance, which insurance is in amounts and insures against such losses and risks as are generally maintained by similarly situated companies and which the Company reasonably believes are adequate to protect the Company and its business;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7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(rr)</w:t>
      </w:r>
      <w:r>
        <w:rPr>
          <w:rFonts w:ascii="Times New Roman" w:cs="Times New Roman" w:eastAsia="Times New Roman" w:hAnsi="Times New Roman"/>
          <w:sz w:val="21"/>
          <w:szCs w:val="21"/>
          <w:i w:val="1"/>
          <w:iCs w:val="1"/>
          <w:color w:val="auto"/>
        </w:rPr>
        <w:t>Cybersecurity; Data Protection.</w:t>
      </w:r>
      <w:r>
        <w:rPr>
          <w:rFonts w:ascii="Times New Roman" w:cs="Times New Roman" w:eastAsia="Times New Roman" w:hAnsi="Times New Roman"/>
          <w:sz w:val="21"/>
          <w:szCs w:val="21"/>
          <w:color w:val="auto"/>
        </w:rPr>
        <w:t xml:space="preserve"> The Company’s information technology assets and equipment, computers, systems, networks, hardware, software, websites, applications, and databases (collectively, “IT Systems”) are adequate for, and operate and perform in all material respects as required in connection with the operation of its business as currently conducted, in each case, to the knowledge of the Company, free and clear of all material bugs, errors, defects, Trojan horses, time bombs, malware and other corruptants. The Company has implemented, maintained and complied with commercially reasonable information technology, information security, cybersecurity and data protection controls, policies, procedures, and safeguards designed to maintain and protect its material confidential information and the integrity, continuous operation, redundancy and security of all IT Systems and data (including all personal, personally identifiable, sensitive, confidential information or trade secrets (collectively, “Sensitive Data”)) collected, used, stored or processed by, or to the knowledge of the Company, on behalf of the Company in connection with its business, and, to the Company’s knowledge, there have been no breaches, violations, outages or unauthorized uses of or accesses to any IT Systems and Sensitive Data, except for those that have been remedied without material cost or liability. The Company is presently in compliance with all applicable laws or statutes and all other applicable judgments, orders, rules and regulations of any court or arbitrator or governmental or regulatory authority, internal and external policies, and contractual obligations relating to the privacy and security of IT Systems and the collection, use, transfer, import, export, storage, disposal and disclosure of Sensitive Data and to the protection of such IT Systems and Sensitive Data from unauthorized use, access, misappropriation or modification (“Data Security Obligations”) except where the failure to comply would not, individually or in the aggregate, have a Material Adverse Effect. The Company (i) has not received any notification of or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ind w:right="100"/>
        <w:spacing w:after="0" w:line="235" w:lineRule="auto"/>
        <w:rPr>
          <w:sz w:val="20"/>
          <w:szCs w:val="20"/>
          <w:color w:val="auto"/>
        </w:rPr>
      </w:pPr>
      <w:r>
        <w:rPr>
          <w:rFonts w:ascii="Times New Roman" w:cs="Times New Roman" w:eastAsia="Times New Roman" w:hAnsi="Times New Roman"/>
          <w:sz w:val="22"/>
          <w:szCs w:val="22"/>
          <w:color w:val="auto"/>
        </w:rPr>
        <w:t>complaint regarding any actual or potential liability under or relating to, or actual or potential violation of any Data Security Obligation and has no knowledge of any event or condition that would reasonably be expected to result in any such notice, (ii) is not currently conducting or paying for, in whole or in part, any investigation, remediation or other corrective action pursuant to any Data Security Obligation, (iii) is not a party to any order, decree, or agreement that imposed any obligation or liability under any Data Security Obligation and (iv) is not subject to any pending or, to the knowledge of the Company, threatened action, suit, investigation or proceeding by or before any court or government agency, or body alleging non-compliance with any Data Security Obligation by the Company.</w:t>
      </w:r>
    </w:p>
    <w:p>
      <w:pPr>
        <w:spacing w:after="0" w:line="179"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auto"/>
        </w:rPr>
        <w:t>(ss)</w:t>
      </w:r>
      <w:r>
        <w:rPr>
          <w:rFonts w:ascii="Times New Roman" w:cs="Times New Roman" w:eastAsia="Times New Roman" w:hAnsi="Times New Roman"/>
          <w:sz w:val="22"/>
          <w:szCs w:val="22"/>
          <w:i w:val="1"/>
          <w:iCs w:val="1"/>
          <w:color w:val="auto"/>
        </w:rPr>
        <w:t>No Unlawful Payments.</w:t>
      </w:r>
      <w:r>
        <w:rPr>
          <w:rFonts w:ascii="Times New Roman" w:cs="Times New Roman" w:eastAsia="Times New Roman" w:hAnsi="Times New Roman"/>
          <w:sz w:val="22"/>
          <w:szCs w:val="22"/>
          <w:color w:val="auto"/>
        </w:rPr>
        <w:t xml:space="preserve"> Neither the Company nor any director or officer of the Company nor, to the knowledge of the Company, any employee, agent, affiliate or other person associated with or acting on behalf of the Company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has instituted, maintained and enforced, and will continue to maintain and enforce, policies and procedures designed to promote and ensure compliance with all applicable anti-bribery and anti-corruption laws.</w:t>
      </w:r>
    </w:p>
    <w:p>
      <w:pPr>
        <w:spacing w:after="0" w:line="180"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(tt)</w:t>
      </w:r>
      <w:r>
        <w:rPr>
          <w:rFonts w:ascii="Times New Roman" w:cs="Times New Roman" w:eastAsia="Times New Roman" w:hAnsi="Times New Roman"/>
          <w:sz w:val="22"/>
          <w:szCs w:val="22"/>
          <w:i w:val="1"/>
          <w:iCs w:val="1"/>
          <w:color w:val="auto"/>
        </w:rPr>
        <w:t>Compliance with Anti-Money Laundering Laws</w:t>
      </w:r>
      <w:r>
        <w:rPr>
          <w:rFonts w:ascii="Times New Roman" w:cs="Times New Roman" w:eastAsia="Times New Roman" w:hAnsi="Times New Roman"/>
          <w:sz w:val="22"/>
          <w:szCs w:val="22"/>
          <w:color w:val="auto"/>
        </w:rPr>
        <w:t>. The operations of the Company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7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(uu)</w:t>
      </w:r>
      <w:r>
        <w:rPr>
          <w:rFonts w:ascii="Times New Roman" w:cs="Times New Roman" w:eastAsia="Times New Roman" w:hAnsi="Times New Roman"/>
          <w:sz w:val="22"/>
          <w:szCs w:val="22"/>
          <w:i w:val="1"/>
          <w:iCs w:val="1"/>
          <w:color w:val="auto"/>
        </w:rPr>
        <w:t>No Conflicts with Sanctions Laws.</w:t>
      </w:r>
      <w:r>
        <w:rPr>
          <w:rFonts w:ascii="Times New Roman" w:cs="Times New Roman" w:eastAsia="Times New Roman" w:hAnsi="Times New Roman"/>
          <w:sz w:val="22"/>
          <w:szCs w:val="22"/>
          <w:color w:val="auto"/>
        </w:rPr>
        <w:t xml:space="preserve"> Neither the Company nor any of its directors or officers, nor, to the knowledge of the Company, any employees, agent, affiliate or other person associated with or acting on behalf of the Company is currently the subject or the target of any sanctions administered or enforced by the U.S. government (including, without limitation, the Office of Foreign Assets Control of the U.S. Department of the Treasury (“OFAC”) or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6" w:name="page67"/>
    <w:bookmarkEnd w:id="66"/>
    <w:p>
      <w:pPr>
        <w:spacing w:after="0" w:line="244" w:lineRule="auto"/>
        <w:rPr>
          <w:sz w:val="20"/>
          <w:szCs w:val="20"/>
          <w:color w:val="auto"/>
        </w:rPr>
      </w:pPr>
      <w:r>
        <w:rPr>
          <w:rFonts w:ascii="Times New Roman" w:cs="Times New Roman" w:eastAsia="Times New Roman" w:hAnsi="Times New Roman"/>
          <w:sz w:val="21"/>
          <w:szCs w:val="21"/>
          <w:color w:val="auto"/>
        </w:rPr>
        <w:t>U.S. Department of State and including, without limitation, the designation as a “specially designated national” or “blocked person”), the United Nations Security Council (“UNSC”), the European Union, His Majesty’s Treasury (“HMT”) or other relevant sanctions authority (collectively, “Sanctions”), nor is the Company located, organized or resident in a country or territory that is the subject or target of Sanctions, including, without limitation, the Crimea Region of Ukraine, the so-called Donetsk People’s Republic, the so-called Luhansk People’s Republic,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w:t>
      </w:r>
    </w:p>
    <w:p>
      <w:pPr>
        <w:spacing w:after="0" w:line="4" w:lineRule="exact"/>
        <w:rPr>
          <w:sz w:val="20"/>
          <w:szCs w:val="20"/>
          <w:color w:val="auto"/>
        </w:rPr>
      </w:pPr>
    </w:p>
    <w:p>
      <w:pPr>
        <w:ind w:right="40" w:firstLine="8"/>
        <w:spacing w:after="0" w:line="233" w:lineRule="auto"/>
        <w:tabs>
          <w:tab w:leader="none" w:pos="3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ten years, the Company has not knowingly engaged in and is not now knowingly engaged in any dealings or transactions with any person that at the time of the dealing or transaction is or was the subject or the target of Sanctions or with any Sanctioned Country.</w:t>
      </w:r>
    </w:p>
    <w:p>
      <w:pPr>
        <w:spacing w:after="0" w:line="175" w:lineRule="exact"/>
        <w:rPr>
          <w:sz w:val="20"/>
          <w:szCs w:val="20"/>
          <w:color w:val="auto"/>
        </w:rPr>
      </w:pPr>
    </w:p>
    <w:p>
      <w:pPr>
        <w:jc w:val="both"/>
        <w:ind w:right="180" w:firstLine="749"/>
        <w:spacing w:after="0" w:line="246" w:lineRule="auto"/>
        <w:rPr>
          <w:sz w:val="20"/>
          <w:szCs w:val="20"/>
          <w:color w:val="auto"/>
        </w:rPr>
      </w:pPr>
      <w:r>
        <w:rPr>
          <w:rFonts w:ascii="Times New Roman" w:cs="Times New Roman" w:eastAsia="Times New Roman" w:hAnsi="Times New Roman"/>
          <w:sz w:val="22"/>
          <w:szCs w:val="22"/>
          <w:color w:val="auto"/>
        </w:rPr>
        <w:t>(vv)</w:t>
      </w:r>
      <w:r>
        <w:rPr>
          <w:rFonts w:ascii="Times New Roman" w:cs="Times New Roman" w:eastAsia="Times New Roman" w:hAnsi="Times New Roman"/>
          <w:sz w:val="22"/>
          <w:szCs w:val="22"/>
          <w:i w:val="1"/>
          <w:iCs w:val="1"/>
          <w:color w:val="auto"/>
        </w:rPr>
        <w:t>No Broker’s Fees.</w:t>
      </w:r>
      <w:r>
        <w:rPr>
          <w:rFonts w:ascii="Times New Roman" w:cs="Times New Roman" w:eastAsia="Times New Roman" w:hAnsi="Times New Roman"/>
          <w:sz w:val="22"/>
          <w:szCs w:val="22"/>
          <w:color w:val="auto"/>
        </w:rPr>
        <w:t xml:space="preserve"> The Company is not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67" w:lineRule="exact"/>
        <w:rPr>
          <w:sz w:val="20"/>
          <w:szCs w:val="20"/>
          <w:color w:val="auto"/>
        </w:rPr>
      </w:pPr>
    </w:p>
    <w:p>
      <w:pPr>
        <w:ind w:right="120" w:firstLine="749"/>
        <w:spacing w:after="0" w:line="241" w:lineRule="auto"/>
        <w:rPr>
          <w:sz w:val="20"/>
          <w:szCs w:val="20"/>
          <w:color w:val="auto"/>
        </w:rPr>
      </w:pPr>
      <w:r>
        <w:rPr>
          <w:rFonts w:ascii="Times New Roman" w:cs="Times New Roman" w:eastAsia="Times New Roman" w:hAnsi="Times New Roman"/>
          <w:sz w:val="22"/>
          <w:szCs w:val="22"/>
          <w:color w:val="auto"/>
        </w:rPr>
        <w:t>(ww)</w:t>
      </w:r>
      <w:r>
        <w:rPr>
          <w:rFonts w:ascii="Times New Roman" w:cs="Times New Roman" w:eastAsia="Times New Roman" w:hAnsi="Times New Roman"/>
          <w:sz w:val="22"/>
          <w:szCs w:val="22"/>
          <w:i w:val="1"/>
          <w:iCs w:val="1"/>
          <w:color w:val="auto"/>
        </w:rPr>
        <w:t>No Registration Rights</w:t>
      </w:r>
      <w:r>
        <w:rPr>
          <w:rFonts w:ascii="Times New Roman" w:cs="Times New Roman" w:eastAsia="Times New Roman" w:hAnsi="Times New Roman"/>
          <w:sz w:val="22"/>
          <w:szCs w:val="22"/>
          <w:color w:val="auto"/>
        </w:rPr>
        <w:t>. Except for such rights that have been otherwise waived or as described in the Registration Statement, the Pricing Disclosure Package and the Prospectus, no person has the right to require the Company to register any securities for sale under the Securities Act by reason of the filing of the Registration Statement with the Commission, the issuance and sale of the Shares by the Company.</w:t>
      </w:r>
    </w:p>
    <w:p>
      <w:pPr>
        <w:spacing w:after="0" w:line="172"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2"/>
          <w:szCs w:val="22"/>
          <w:color w:val="auto"/>
        </w:rPr>
        <w:t>(xx)</w:t>
      </w:r>
      <w:r>
        <w:rPr>
          <w:rFonts w:ascii="Times New Roman" w:cs="Times New Roman" w:eastAsia="Times New Roman" w:hAnsi="Times New Roman"/>
          <w:sz w:val="22"/>
          <w:szCs w:val="22"/>
          <w:i w:val="1"/>
          <w:iCs w:val="1"/>
          <w:color w:val="auto"/>
        </w:rPr>
        <w:t>No Stabilization.</w:t>
      </w:r>
      <w:r>
        <w:rPr>
          <w:rFonts w:ascii="Times New Roman" w:cs="Times New Roman" w:eastAsia="Times New Roman" w:hAnsi="Times New Roman"/>
          <w:sz w:val="22"/>
          <w:szCs w:val="22"/>
          <w:color w:val="auto"/>
        </w:rPr>
        <w:t xml:space="preserve"> Neither the Company nor, to the Company’s knowledge, any of its affiliates has taken, directly or indirectly, any action designed to or that could reasonably be expected to cause or result in any stabilization or manipulation of the price of the Shares.</w:t>
      </w:r>
    </w:p>
    <w:p>
      <w:pPr>
        <w:spacing w:after="0" w:line="167" w:lineRule="exact"/>
        <w:rPr>
          <w:sz w:val="20"/>
          <w:szCs w:val="20"/>
          <w:color w:val="auto"/>
        </w:rPr>
      </w:pPr>
    </w:p>
    <w:p>
      <w:pPr>
        <w:ind w:right="200" w:firstLine="749"/>
        <w:spacing w:after="0" w:line="241" w:lineRule="auto"/>
        <w:rPr>
          <w:sz w:val="20"/>
          <w:szCs w:val="20"/>
          <w:color w:val="auto"/>
        </w:rPr>
      </w:pPr>
      <w:r>
        <w:rPr>
          <w:rFonts w:ascii="Times New Roman" w:cs="Times New Roman" w:eastAsia="Times New Roman" w:hAnsi="Times New Roman"/>
          <w:sz w:val="22"/>
          <w:szCs w:val="22"/>
          <w:color w:val="auto"/>
        </w:rPr>
        <w:t>(yy)</w:t>
      </w:r>
      <w:r>
        <w:rPr>
          <w:rFonts w:ascii="Times New Roman" w:cs="Times New Roman" w:eastAsia="Times New Roman" w:hAnsi="Times New Roman"/>
          <w:sz w:val="22"/>
          <w:szCs w:val="22"/>
          <w:i w:val="1"/>
          <w:iCs w:val="1"/>
          <w:color w:val="auto"/>
        </w:rPr>
        <w:t>Margin Rules</w:t>
      </w:r>
      <w:r>
        <w:rPr>
          <w:rFonts w:ascii="Times New Roman" w:cs="Times New Roman" w:eastAsia="Times New Roman" w:hAnsi="Times New Roman"/>
          <w:sz w:val="22"/>
          <w:szCs w:val="22"/>
          <w:color w:val="auto"/>
        </w:rPr>
        <w:t>. Neither the issuance, sale and delivery of the Shares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spacing w:after="0" w:line="172"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2"/>
          <w:szCs w:val="22"/>
          <w:color w:val="auto"/>
        </w:rPr>
        <w:t>(zz)</w:t>
      </w:r>
      <w:r>
        <w:rPr>
          <w:rFonts w:ascii="Times New Roman" w:cs="Times New Roman" w:eastAsia="Times New Roman" w:hAnsi="Times New Roman"/>
          <w:sz w:val="22"/>
          <w:szCs w:val="22"/>
          <w:i w:val="1"/>
          <w:iCs w:val="1"/>
          <w:color w:val="auto"/>
        </w:rPr>
        <w:t>Forward-Looking Statements.</w:t>
      </w:r>
      <w:r>
        <w:rPr>
          <w:rFonts w:ascii="Times New Roman" w:cs="Times New Roman" w:eastAsia="Times New Roman" w:hAnsi="Times New Roman"/>
          <w:sz w:val="22"/>
          <w:szCs w:val="22"/>
          <w:color w:val="auto"/>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7" w:name="page68"/>
    <w:bookmarkEnd w:id="67"/>
    <w:p>
      <w:pPr>
        <w:ind w:firstLine="749"/>
        <w:spacing w:after="0" w:line="241" w:lineRule="auto"/>
        <w:rPr>
          <w:sz w:val="20"/>
          <w:szCs w:val="20"/>
          <w:color w:val="auto"/>
        </w:rPr>
      </w:pPr>
      <w:r>
        <w:rPr>
          <w:rFonts w:ascii="Times New Roman" w:cs="Times New Roman" w:eastAsia="Times New Roman" w:hAnsi="Times New Roman"/>
          <w:sz w:val="22"/>
          <w:szCs w:val="22"/>
          <w:color w:val="auto"/>
        </w:rPr>
        <w:t>(aaa)</w:t>
      </w:r>
      <w:r>
        <w:rPr>
          <w:rFonts w:ascii="Times New Roman" w:cs="Times New Roman" w:eastAsia="Times New Roman" w:hAnsi="Times New Roman"/>
          <w:sz w:val="22"/>
          <w:szCs w:val="22"/>
          <w:i w:val="1"/>
          <w:iCs w:val="1"/>
          <w:color w:val="auto"/>
        </w:rPr>
        <w:t>Statistical and Market Data.</w:t>
      </w:r>
      <w:r>
        <w:rPr>
          <w:rFonts w:ascii="Times New Roman" w:cs="Times New Roman" w:eastAsia="Times New Roman" w:hAnsi="Times New Roman"/>
          <w:sz w:val="22"/>
          <w:szCs w:val="22"/>
          <w:color w:val="auto"/>
        </w:rPr>
        <w:t xml:space="preserve"> Nothing has come to the attention of the Company that has caused the Company to believe that the statistical and market-related data included or incorporated by reference in each of the Registration Statement, the Pricing Disclosure Package and the Prospectus is not based on or derived from sources that are reliable and accurate in all material respects.</w:t>
      </w:r>
    </w:p>
    <w:p>
      <w:pPr>
        <w:spacing w:after="0" w:line="172"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22"/>
          <w:szCs w:val="22"/>
          <w:color w:val="auto"/>
        </w:rPr>
        <w:t>(bbb)</w:t>
      </w:r>
      <w:r>
        <w:rPr>
          <w:rFonts w:ascii="Times New Roman" w:cs="Times New Roman" w:eastAsia="Times New Roman" w:hAnsi="Times New Roman"/>
          <w:sz w:val="22"/>
          <w:szCs w:val="22"/>
          <w:i w:val="1"/>
          <w:iCs w:val="1"/>
          <w:color w:val="auto"/>
        </w:rPr>
        <w:t>Regulatory Matters; Products and Product Candidates</w:t>
      </w:r>
      <w:r>
        <w:rPr>
          <w:rFonts w:ascii="Times New Roman" w:cs="Times New Roman" w:eastAsia="Times New Roman" w:hAnsi="Times New Roman"/>
          <w:sz w:val="22"/>
          <w:szCs w:val="22"/>
          <w:color w:val="auto"/>
        </w:rPr>
        <w:t>. The Company: (i) has operated and currently operates its business in compliance in all material respects with applicable provisions of the Health Care Laws (as defined below) of the FDA, the Department of Health and Human Services and any applicable comparable foreign or other regulatory authority (collectively, the “Applicable Regulatory Authorities”) applicable to the ownership, testing, development, manufacture, packaging, processing, use, distribution, storage, import, export or disposal of any of the Company's product candidates manufactured or distributed by the Company; (ii) has not received any FDA Form 483, written notice of adverse finding, warning letter, untitled letter or other written notice from any court or arbitrator or governmental or regulatory authority alleging or asserting non-compliance with (A) any Health Care Laws or (B) any licenses, certificates, approvals, clearances, exemptions, authorizations, permits and supplements or amendments thereto required by any such Health Care Laws (“Regulatory Authorizations”); (iii) possesses all material Regulatory Authorizations required to conduct its business as currently conducted, and such Regulatory Authorizations are valid and in full force and effect in all material respects and, to the knowledge of the Company, the Company is not in material violation of any term of any such Regulatory Authorizations; (iv) has not received written notice of any claim, action, suit, proceeding, hearing, enforcement, investigation, arbitration or other action from the Applicable Regulatory Authorities or any other third party alleging that any product candidate of the Company is in violation of any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materially 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material reports, documents, forms, notices, applications, records, claims, submissions and supplements or amendments were complete and correct in all material respects on the date filed (or were corrected or supplemented by a subsequent submission); (vii) is not a party to and does not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and directors, has not, to the knowledge of the Company, been excluded, suspended or debarred from participation in any government health care program or human clinical research and, to the knowledge of the Company, is not subject to a governmental inquiry, investigation, proceeding, or other similar action that could reasonably be expected to result in debarment, suspension, or exclusion.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68" w:name="page69"/>
    <w:bookmarkEnd w:id="68"/>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the Civil Monetary Penalties Law, 42 U.S.C. §§ 1320a-7a and 1320a-7b;; the Exclusion Statute, 42 U.S.C. § 1320a-7;; the Federal Food, Drug, and Cosmetic Act, 21 U.S.C. §§ 301 et seq.; the Public Health Service Act, 42 U.S.C. §§ 201 et seq.; the regulations promulgated pursuant to such laws; and any similar federal, state and local laws and regulations.</w:t>
      </w:r>
    </w:p>
    <w:p>
      <w:pPr>
        <w:spacing w:after="0" w:line="179"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1"/>
          <w:szCs w:val="21"/>
          <w:color w:val="auto"/>
        </w:rPr>
        <w:t>(ccc)</w:t>
      </w:r>
      <w:r>
        <w:rPr>
          <w:rFonts w:ascii="Times New Roman" w:cs="Times New Roman" w:eastAsia="Times New Roman" w:hAnsi="Times New Roman"/>
          <w:sz w:val="21"/>
          <w:szCs w:val="21"/>
          <w:i w:val="1"/>
          <w:iCs w:val="1"/>
          <w:color w:val="auto"/>
        </w:rPr>
        <w:t>Clinical Trials.</w:t>
      </w:r>
      <w:r>
        <w:rPr>
          <w:rFonts w:ascii="Times New Roman" w:cs="Times New Roman" w:eastAsia="Times New Roman" w:hAnsi="Times New Roman"/>
          <w:sz w:val="21"/>
          <w:szCs w:val="21"/>
          <w:color w:val="auto"/>
        </w:rPr>
        <w:t xml:space="preserve"> The clinical, preclinical and nonclinical trials and studies conducted by or on behalf of or sponsored by the Company, that are described in the Registration Statement, the Pricing Disclosure Package and the Prospectus, or the results of which are referred to in the Registration Statement, the Pricing Disclosure Package and the Prospectus, as applicable, were, and if still pending are, being conducted in all material respects in accordance with their protocols and procedures and in material compliance with all applicable statutes and all rules and regulations of the FDA and other applicable regulatory authorities (including, without limitation, any foreign, federal, state or local governmental or regulatory authority performing functions similar to those performed by the FDA) (collectively, the “Regulatory Authorities”) and current Good Clinical Practices and Good Laboratory Practices (as defined by the FDA), as applicable; the descriptions in the Registration Statement, the Pricing Disclosure Package and the Prospectus of the results of such studies and tests are accurate and complete and materially present the data derived from such trials or studies; the Company has no knowledge of any other trials, the results of which call into question the results described or referred to in the Registration Statement, the Pricing Disclosure Package or the Prospectus; the Company has not received any written notices, correspondence or other written communications from the Regulatory Authorities or any other governmental agency requiring the termination, material modification or suspension of any preclinical, clinical or nonclinical trials that are described in the Registration Statement, the Pricing Disclosure Package and the Prospectus or the results of which are referred to in the Registration Statement, the Pricing Disclosure Package and the Prospectus, and, to the knowledge of the Company, there are no reasonable grounds for the same.</w:t>
      </w:r>
    </w:p>
    <w:p>
      <w:pPr>
        <w:spacing w:after="0" w:line="17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(ddd)</w:t>
      </w:r>
      <w:r>
        <w:rPr>
          <w:rFonts w:ascii="Times New Roman" w:cs="Times New Roman" w:eastAsia="Times New Roman" w:hAnsi="Times New Roman"/>
          <w:sz w:val="22"/>
          <w:szCs w:val="22"/>
          <w:i w:val="1"/>
          <w:iCs w:val="1"/>
          <w:color w:val="auto"/>
        </w:rPr>
        <w:t>Sarbanes-Oxley Act</w:t>
      </w:r>
      <w:r>
        <w:rPr>
          <w:rFonts w:ascii="Times New Roman" w:cs="Times New Roman" w:eastAsia="Times New Roman" w:hAnsi="Times New Roman"/>
          <w:sz w:val="22"/>
          <w:szCs w:val="22"/>
          <w:color w:val="auto"/>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72"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(eee)</w:t>
      </w:r>
      <w:r>
        <w:rPr>
          <w:rFonts w:ascii="Times New Roman" w:cs="Times New Roman" w:eastAsia="Times New Roman" w:hAnsi="Times New Roman"/>
          <w:sz w:val="22"/>
          <w:szCs w:val="22"/>
          <w:i w:val="1"/>
          <w:iCs w:val="1"/>
          <w:color w:val="auto"/>
        </w:rPr>
        <w:t>Status under the Securities Act</w:t>
      </w:r>
      <w:r>
        <w:rPr>
          <w:rFonts w:ascii="Times New Roman" w:cs="Times New Roman" w:eastAsia="Times New Roman" w:hAnsi="Times New Roman"/>
          <w:sz w:val="22"/>
          <w:szCs w:val="22"/>
          <w:color w:val="auto"/>
        </w:rPr>
        <w:t xml:space="preserve">. At the time of filing the Registration Statement and any post-effective amendment thereto, at the earliest time thereafter that the Company or any offering participant made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9" w:name="page70"/>
    <w:bookmarkEnd w:id="69"/>
    <w:p>
      <w:pPr>
        <w:ind w:right="280"/>
        <w:spacing w:after="0" w:line="258" w:lineRule="auto"/>
        <w:rPr>
          <w:sz w:val="20"/>
          <w:szCs w:val="20"/>
          <w:color w:val="auto"/>
        </w:rPr>
      </w:pPr>
      <w:r>
        <w:rPr>
          <w:rFonts w:ascii="Times New Roman" w:cs="Times New Roman" w:eastAsia="Times New Roman" w:hAnsi="Times New Roman"/>
          <w:sz w:val="22"/>
          <w:szCs w:val="22"/>
          <w:color w:val="auto"/>
        </w:rPr>
        <w:t>such fee within the time period required by such rule (without giving effect to the proviso therein) and in any event prior to the Closing Date.</w:t>
      </w:r>
    </w:p>
    <w:p>
      <w:pPr>
        <w:spacing w:after="0" w:line="154"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color w:val="auto"/>
        </w:rPr>
        <w:t>(fff)</w:t>
      </w:r>
      <w:r>
        <w:rPr>
          <w:rFonts w:ascii="Times New Roman" w:cs="Times New Roman" w:eastAsia="Times New Roman" w:hAnsi="Times New Roman"/>
          <w:sz w:val="22"/>
          <w:szCs w:val="22"/>
          <w:i w:val="1"/>
          <w:iCs w:val="1"/>
          <w:color w:val="auto"/>
        </w:rPr>
        <w:t>No Ratings</w:t>
      </w:r>
      <w:r>
        <w:rPr>
          <w:rFonts w:ascii="Times New Roman" w:cs="Times New Roman" w:eastAsia="Times New Roman" w:hAnsi="Times New Roman"/>
          <w:sz w:val="22"/>
          <w:szCs w:val="22"/>
          <w:color w:val="auto"/>
        </w:rPr>
        <w:t>. There are (and prior to the Closing Date, will be) no debt securities, convertible securities or preferred stock issued or guaranteed by the Company that are rated by a “nationally recognized statistical rating organization”, as such term is defined in Section 3(a)(62) under the Exchange Act.</w:t>
      </w:r>
    </w:p>
    <w:p>
      <w:pPr>
        <w:spacing w:after="0" w:line="171" w:lineRule="exact"/>
        <w:rPr>
          <w:sz w:val="20"/>
          <w:szCs w:val="20"/>
          <w:color w:val="auto"/>
        </w:rPr>
      </w:pPr>
    </w:p>
    <w:p>
      <w:pPr>
        <w:ind w:left="1020" w:hanging="263"/>
        <w:spacing w:after="0"/>
        <w:tabs>
          <w:tab w:leader="none" w:pos="10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Agreements of the Company</w:t>
      </w:r>
      <w:r>
        <w:rPr>
          <w:rFonts w:ascii="Times New Roman" w:cs="Times New Roman" w:eastAsia="Times New Roman" w:hAnsi="Times New Roman"/>
          <w:sz w:val="22"/>
          <w:szCs w:val="22"/>
          <w:color w:val="auto"/>
        </w:rPr>
        <w:t>. The Company covenants and agrees with each Underwriter that:</w:t>
      </w:r>
    </w:p>
    <w:p>
      <w:pPr>
        <w:spacing w:after="0" w:line="202" w:lineRule="exact"/>
        <w:rPr>
          <w:rFonts w:ascii="Times New Roman" w:cs="Times New Roman" w:eastAsia="Times New Roman" w:hAnsi="Times New Roman"/>
          <w:sz w:val="22"/>
          <w:szCs w:val="22"/>
          <w:color w:val="auto"/>
        </w:rPr>
      </w:pPr>
    </w:p>
    <w:p>
      <w:pPr>
        <w:ind w:left="760" w:firstLine="745"/>
        <w:spacing w:after="0" w:line="235"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Required Filings. </w:t>
      </w:r>
      <w:r>
        <w:rPr>
          <w:rFonts w:ascii="Times New Roman" w:cs="Times New Roman" w:eastAsia="Times New Roman" w:hAnsi="Times New Roman"/>
          <w:sz w:val="22"/>
          <w:szCs w:val="22"/>
          <w:color w:val="auto"/>
        </w:rPr>
        <w:t>The Company will file the final Prospectus with the Commission within the time periods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specified by Rule 424(b) and Rule 430A, 430B or 430C under the Securities Act and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 for this offering within the time period required by Rule 456(b)(1) under the Securities Act (without giving effect to the proviso therein) and in any event prior to the Closing Date.</w:t>
      </w:r>
    </w:p>
    <w:p>
      <w:pPr>
        <w:spacing w:after="0" w:line="178" w:lineRule="exact"/>
        <w:rPr>
          <w:rFonts w:ascii="Times New Roman" w:cs="Times New Roman" w:eastAsia="Times New Roman" w:hAnsi="Times New Roman"/>
          <w:sz w:val="22"/>
          <w:szCs w:val="22"/>
          <w:color w:val="auto"/>
        </w:rPr>
      </w:pPr>
    </w:p>
    <w:p>
      <w:pPr>
        <w:ind w:left="760" w:right="80" w:firstLine="745"/>
        <w:spacing w:after="0" w:line="234"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of Copies. </w:t>
      </w:r>
      <w:r>
        <w:rPr>
          <w:rFonts w:ascii="Times New Roman" w:cs="Times New Roman" w:eastAsia="Times New Roman" w:hAnsi="Times New Roman"/>
          <w:sz w:val="22"/>
          <w:szCs w:val="22"/>
          <w:color w:val="auto"/>
        </w:rPr>
        <w:t>The Company will deliver, without charge, (i) to the Representatives, two signed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79" w:lineRule="exact"/>
        <w:rPr>
          <w:rFonts w:ascii="Times New Roman" w:cs="Times New Roman" w:eastAsia="Times New Roman" w:hAnsi="Times New Roman"/>
          <w:sz w:val="22"/>
          <w:szCs w:val="22"/>
          <w:color w:val="auto"/>
        </w:rPr>
      </w:pPr>
    </w:p>
    <w:p>
      <w:pPr>
        <w:ind w:left="760" w:right="40" w:firstLine="745"/>
        <w:spacing w:after="0" w:line="237"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Amendments or Supplements, Issuer Free Writing Prospectuses. </w:t>
      </w:r>
      <w:r>
        <w:rPr>
          <w:rFonts w:ascii="Times New Roman" w:cs="Times New Roman" w:eastAsia="Times New Roman" w:hAnsi="Times New Roman"/>
          <w:sz w:val="22"/>
          <w:szCs w:val="22"/>
          <w:color w:val="auto"/>
        </w:rPr>
        <w:t>Before making, preparing, using,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 w:name="page71"/>
    <w:bookmarkEnd w:id="70"/>
    <w:p>
      <w:pPr>
        <w:ind w:left="3"/>
        <w:spacing w:after="0"/>
        <w:rPr>
          <w:sz w:val="20"/>
          <w:szCs w:val="20"/>
          <w:color w:val="auto"/>
        </w:rPr>
      </w:pPr>
      <w:r>
        <w:rPr>
          <w:rFonts w:ascii="Times New Roman" w:cs="Times New Roman" w:eastAsia="Times New Roman" w:hAnsi="Times New Roman"/>
          <w:sz w:val="22"/>
          <w:szCs w:val="22"/>
          <w:color w:val="auto"/>
        </w:rPr>
        <w:t>any such proposed amendment or supplement to which the Representatives reasonably objects.</w:t>
      </w:r>
    </w:p>
    <w:p>
      <w:pPr>
        <w:spacing w:after="0" w:line="202" w:lineRule="exact"/>
        <w:rPr>
          <w:sz w:val="20"/>
          <w:szCs w:val="20"/>
          <w:color w:val="auto"/>
        </w:rPr>
      </w:pPr>
    </w:p>
    <w:p>
      <w:pPr>
        <w:ind w:left="3" w:right="40" w:firstLine="745"/>
        <w:spacing w:after="0" w:line="243" w:lineRule="auto"/>
        <w:tabs>
          <w:tab w:leader="none" w:pos="1184"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to the Representatives. </w:t>
      </w:r>
      <w:r>
        <w:rPr>
          <w:rFonts w:ascii="Times New Roman" w:cs="Times New Roman" w:eastAsia="Times New Roman" w:hAnsi="Times New Roman"/>
          <w:sz w:val="21"/>
          <w:szCs w:val="21"/>
          <w:color w:val="auto"/>
        </w:rPr>
        <w:t>The Company will advise the Representatives promptly, and confirm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advice in writing (which may be by email),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w:t>
      </w:r>
    </w:p>
    <w:p>
      <w:pPr>
        <w:ind w:left="3" w:hanging="3"/>
        <w:spacing w:after="0" w:line="244" w:lineRule="auto"/>
        <w:tabs>
          <w:tab w:leader="none" w:pos="42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172" w:lineRule="exact"/>
        <w:rPr>
          <w:rFonts w:ascii="Times New Roman" w:cs="Times New Roman" w:eastAsia="Times New Roman" w:hAnsi="Times New Roman"/>
          <w:sz w:val="21"/>
          <w:szCs w:val="21"/>
          <w:color w:val="auto"/>
        </w:rPr>
      </w:pPr>
    </w:p>
    <w:p>
      <w:pPr>
        <w:ind w:left="3" w:firstLine="745"/>
        <w:spacing w:after="0" w:line="236" w:lineRule="auto"/>
        <w:tabs>
          <w:tab w:leader="none" w:pos="118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Ongoing Compliance. </w:t>
      </w:r>
      <w:r>
        <w:rPr>
          <w:rFonts w:ascii="Times New Roman" w:cs="Times New Roman" w:eastAsia="Times New Roman" w:hAnsi="Times New Roman"/>
          <w:sz w:val="22"/>
          <w:szCs w:val="22"/>
          <w:color w:val="auto"/>
        </w:rPr>
        <w:t>(1) If during the Prospectus Delivery Period (i) any event or development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as soon as practicable, notify the Underwriters thereof and forthwith prepare and, subject to paragraph (c) above, file with the Commission and furnish to the Underwriters and to such dealers as the Representatives</w:t>
      </w:r>
    </w:p>
    <w:p>
      <w:pPr>
        <w:spacing w:after="0" w:line="180"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889635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08" w:right="359" w:bottom="1440" w:gutter="0" w:footer="0" w:header="0"/>
        </w:sectPr>
      </w:pPr>
    </w:p>
    <w:bookmarkStart w:id="71" w:name="page72"/>
    <w:bookmarkEnd w:id="71"/>
    <w:p>
      <w:pPr>
        <w:ind w:right="40"/>
        <w:spacing w:after="0" w:line="232" w:lineRule="auto"/>
        <w:rPr>
          <w:sz w:val="20"/>
          <w:szCs w:val="20"/>
          <w:color w:val="auto"/>
        </w:rPr>
      </w:pPr>
      <w:r>
        <w:rPr>
          <w:rFonts w:ascii="Times New Roman" w:cs="Times New Roman" w:eastAsia="Times New Roman" w:hAnsi="Times New Roman"/>
          <w:sz w:val="22"/>
          <w:szCs w:val="22"/>
          <w:color w:val="auto"/>
        </w:rPr>
        <w:t>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87" w:lineRule="exact"/>
        <w:rPr>
          <w:sz w:val="20"/>
          <w:szCs w:val="20"/>
          <w:color w:val="auto"/>
        </w:rPr>
      </w:pPr>
    </w:p>
    <w:p>
      <w:pPr>
        <w:ind w:right="60" w:firstLine="745"/>
        <w:spacing w:after="0" w:line="235"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Blue Sky Compliance. </w:t>
      </w:r>
      <w:r>
        <w:rPr>
          <w:rFonts w:ascii="Times New Roman" w:cs="Times New Roman" w:eastAsia="Times New Roman" w:hAnsi="Times New Roman"/>
          <w:sz w:val="22"/>
          <w:szCs w:val="22"/>
          <w:color w:val="auto"/>
        </w:rPr>
        <w:t>If required by the law, the Company will use commercially reasonable efforts,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Underwriters’ cooperation, if necessary, to qualify the Shares for offer and sale under the securities or Blue Sky laws of such jurisdictions as the Representatives shall reasonably request and will use commercially reasonable efforts, with the Underwriters’ cooperation, if necessary, to continue such qualifications in effect so long as required for distribution of the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78" w:lineRule="exact"/>
        <w:rPr>
          <w:rFonts w:ascii="Times New Roman" w:cs="Times New Roman" w:eastAsia="Times New Roman" w:hAnsi="Times New Roman"/>
          <w:sz w:val="22"/>
          <w:szCs w:val="22"/>
          <w:color w:val="auto"/>
        </w:rPr>
      </w:pPr>
    </w:p>
    <w:p>
      <w:pPr>
        <w:ind w:firstLine="745"/>
        <w:spacing w:after="0" w:line="236"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Earning Statement. </w:t>
      </w:r>
      <w:r>
        <w:rPr>
          <w:rFonts w:ascii="Times New Roman" w:cs="Times New Roman" w:eastAsia="Times New Roman" w:hAnsi="Times New Roman"/>
          <w:sz w:val="22"/>
          <w:szCs w:val="22"/>
          <w:color w:val="auto"/>
        </w:rPr>
        <w:t>The Company will make generally available to its security holders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Representatives to the extent they are filed on the Commission’s Electronic Data Gathering, Analysis and Retrieval system (“EDGAR”).</w:t>
      </w:r>
    </w:p>
    <w:p>
      <w:pPr>
        <w:spacing w:after="0" w:line="175" w:lineRule="exact"/>
        <w:rPr>
          <w:rFonts w:ascii="Times New Roman" w:cs="Times New Roman" w:eastAsia="Times New Roman" w:hAnsi="Times New Roman"/>
          <w:sz w:val="22"/>
          <w:szCs w:val="22"/>
          <w:color w:val="auto"/>
        </w:rPr>
      </w:pPr>
    </w:p>
    <w:p>
      <w:pPr>
        <w:ind w:right="240" w:firstLine="745"/>
        <w:spacing w:after="0" w:line="246"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Clear Market. </w:t>
      </w:r>
      <w:r>
        <w:rPr>
          <w:rFonts w:ascii="Times New Roman" w:cs="Times New Roman" w:eastAsia="Times New Roman" w:hAnsi="Times New Roman"/>
          <w:sz w:val="22"/>
          <w:szCs w:val="22"/>
          <w:color w:val="auto"/>
        </w:rPr>
        <w:t>For a period of 90 days after the date of the Prospectus (the “Lock-Up Period”),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will not (i) offer, pledge, sell, contract to sell, sell any option or contract to purchase, purchase any option or contract to sell, grant any option,</w:t>
      </w:r>
    </w:p>
    <w:p>
      <w:pPr>
        <w:spacing w:after="0" w:line="17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889635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72" w:name="page73"/>
    <w:bookmarkEnd w:id="72"/>
    <w:p>
      <w:pPr>
        <w:ind w:left="3" w:right="20"/>
        <w:spacing w:after="0" w:line="235" w:lineRule="auto"/>
        <w:rPr>
          <w:sz w:val="20"/>
          <w:szCs w:val="20"/>
          <w:color w:val="auto"/>
        </w:rPr>
      </w:pPr>
      <w:r>
        <w:rPr>
          <w:rFonts w:ascii="Times New Roman" w:cs="Times New Roman" w:eastAsia="Times New Roman" w:hAnsi="Times New Roman"/>
          <w:sz w:val="22"/>
          <w:szCs w:val="22"/>
          <w:color w:val="auto"/>
        </w:rPr>
        <w:t>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 other than the Shares to be sold hereunder.</w:t>
      </w:r>
    </w:p>
    <w:p>
      <w:pPr>
        <w:spacing w:after="0" w:line="183" w:lineRule="exact"/>
        <w:rPr>
          <w:sz w:val="20"/>
          <w:szCs w:val="20"/>
          <w:color w:val="auto"/>
        </w:rPr>
      </w:pPr>
    </w:p>
    <w:p>
      <w:pPr>
        <w:ind w:left="3" w:firstLine="749"/>
        <w:spacing w:after="0" w:line="243" w:lineRule="auto"/>
        <w:rPr>
          <w:sz w:val="20"/>
          <w:szCs w:val="20"/>
          <w:color w:val="auto"/>
        </w:rPr>
      </w:pPr>
      <w:r>
        <w:rPr>
          <w:rFonts w:ascii="Times New Roman" w:cs="Times New Roman" w:eastAsia="Times New Roman" w:hAnsi="Times New Roman"/>
          <w:sz w:val="21"/>
          <w:szCs w:val="21"/>
          <w:color w:val="auto"/>
        </w:rPr>
        <w:t>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(iii) the issuance of up to 5% of the outstanding shares of Stock, or securities convertible into, exercisable for, or which are otherwise exchangeable for, Stock, immediately following the Closing Date, in connection with any bona fide licensing, commercialization, joint venture, technology transfer, acquisition, development collaboration or other strategic transaction, provided that for (i)-</w:t>
      </w:r>
    </w:p>
    <w:p>
      <w:pPr>
        <w:spacing w:after="0" w:line="8" w:lineRule="exact"/>
        <w:rPr>
          <w:sz w:val="20"/>
          <w:szCs w:val="20"/>
          <w:color w:val="auto"/>
        </w:rPr>
      </w:pPr>
    </w:p>
    <w:p>
      <w:pPr>
        <w:ind w:left="3" w:right="100" w:hanging="3"/>
        <w:spacing w:after="0" w:line="232" w:lineRule="auto"/>
        <w:tabs>
          <w:tab w:leader="none" w:pos="3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recipients enter into a lock-up agreement with the Underwriters;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or (v) after a period of 30 days following the date of the Prospectus, the filing of a registration statement on Form S-3, including any amendments thereto, and/or prospectus or prospectus supplement for an “at-the-market” offering (as defined in Rule 415 of the Securities Act) and entry into an at-the-market sales agreement and/or the issuance of shares of Common Stock pursuant to such at-the-market sales agreement.</w:t>
      </w:r>
    </w:p>
    <w:p>
      <w:pPr>
        <w:spacing w:after="0" w:line="177" w:lineRule="exact"/>
        <w:rPr>
          <w:rFonts w:ascii="Times New Roman" w:cs="Times New Roman" w:eastAsia="Times New Roman" w:hAnsi="Times New Roman"/>
          <w:sz w:val="22"/>
          <w:szCs w:val="22"/>
          <w:color w:val="auto"/>
        </w:rPr>
      </w:pPr>
    </w:p>
    <w:p>
      <w:pPr>
        <w:ind w:left="3" w:right="420" w:firstLine="745"/>
        <w:spacing w:after="0" w:line="246" w:lineRule="auto"/>
        <w:tabs>
          <w:tab w:leader="none" w:pos="118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Use of Proceeds. </w:t>
      </w:r>
      <w:r>
        <w:rPr>
          <w:rFonts w:ascii="Times New Roman" w:cs="Times New Roman" w:eastAsia="Times New Roman" w:hAnsi="Times New Roman"/>
          <w:sz w:val="22"/>
          <w:szCs w:val="22"/>
          <w:color w:val="auto"/>
        </w:rPr>
        <w:t>The Company will apply the net proceeds from the sale of the Shares as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of the Registration Statement, the Pricing Disclosure Package and the Prospectus under the heading “Use of proceeds”.</w:t>
      </w:r>
    </w:p>
    <w:p>
      <w:pPr>
        <w:spacing w:after="0" w:line="167" w:lineRule="exact"/>
        <w:rPr>
          <w:rFonts w:ascii="Times New Roman" w:cs="Times New Roman" w:eastAsia="Times New Roman" w:hAnsi="Times New Roman"/>
          <w:sz w:val="22"/>
          <w:szCs w:val="22"/>
          <w:color w:val="auto"/>
        </w:rPr>
      </w:pPr>
    </w:p>
    <w:p>
      <w:pPr>
        <w:ind w:left="3" w:right="40" w:firstLine="745"/>
        <w:spacing w:after="0" w:line="246" w:lineRule="auto"/>
        <w:tabs>
          <w:tab w:leader="none" w:pos="118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Stabilization. </w:t>
      </w:r>
      <w:r>
        <w:rPr>
          <w:rFonts w:ascii="Times New Roman" w:cs="Times New Roman" w:eastAsia="Times New Roman" w:hAnsi="Times New Roman"/>
          <w:sz w:val="22"/>
          <w:szCs w:val="22"/>
          <w:color w:val="auto"/>
        </w:rPr>
        <w:t>Neither the Company nor its affiliates will take, directly or indirectly, any action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designed to or that could reasonably be expected to cause or result in any stabilization or manipulation of the price of the Stock.</w:t>
      </w:r>
    </w:p>
    <w:p>
      <w:pPr>
        <w:spacing w:after="0" w:line="167" w:lineRule="exact"/>
        <w:rPr>
          <w:rFonts w:ascii="Times New Roman" w:cs="Times New Roman" w:eastAsia="Times New Roman" w:hAnsi="Times New Roman"/>
          <w:sz w:val="22"/>
          <w:szCs w:val="22"/>
          <w:color w:val="auto"/>
        </w:rPr>
      </w:pPr>
    </w:p>
    <w:p>
      <w:pPr>
        <w:ind w:left="3" w:right="280" w:firstLine="745"/>
        <w:spacing w:after="0" w:line="262" w:lineRule="auto"/>
        <w:tabs>
          <w:tab w:leader="none" w:pos="118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Exchange Listing. </w:t>
      </w:r>
      <w:r>
        <w:rPr>
          <w:rFonts w:ascii="Times New Roman" w:cs="Times New Roman" w:eastAsia="Times New Roman" w:hAnsi="Times New Roman"/>
          <w:sz w:val="22"/>
          <w:szCs w:val="22"/>
          <w:color w:val="auto"/>
        </w:rPr>
        <w:t>The Company will use its reasonable best efforts to list, subject to notice of issuance,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Shares on the Nasdaq Global Select Market.</w:t>
      </w:r>
    </w:p>
    <w:p>
      <w:pPr>
        <w:spacing w:after="0" w:line="154"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889635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73" w:name="page74"/>
    <w:bookmarkEnd w:id="73"/>
    <w:p>
      <w:pPr>
        <w:ind w:left="3" w:right="140" w:firstLine="745"/>
        <w:spacing w:after="0" w:line="252" w:lineRule="auto"/>
        <w:tabs>
          <w:tab w:leader="none" w:pos="1184"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Reports. </w:t>
      </w:r>
      <w:r>
        <w:rPr>
          <w:rFonts w:ascii="Times New Roman" w:cs="Times New Roman" w:eastAsia="Times New Roman" w:hAnsi="Times New Roman"/>
          <w:sz w:val="21"/>
          <w:szCs w:val="21"/>
          <w:color w:val="auto"/>
        </w:rPr>
        <w:t>For a period of three years from the date of this Agreement, the Company will furnish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Company will be deemed to have furnished such reports and financial statements to the Representatives to the extent they are filed on EDGAR.</w:t>
      </w:r>
    </w:p>
    <w:p>
      <w:pPr>
        <w:spacing w:after="0" w:line="163" w:lineRule="exact"/>
        <w:rPr>
          <w:rFonts w:ascii="Times New Roman" w:cs="Times New Roman" w:eastAsia="Times New Roman" w:hAnsi="Times New Roman"/>
          <w:sz w:val="21"/>
          <w:szCs w:val="21"/>
          <w:color w:val="auto"/>
        </w:rPr>
      </w:pPr>
    </w:p>
    <w:p>
      <w:pPr>
        <w:jc w:val="both"/>
        <w:ind w:left="3" w:right="160" w:firstLine="745"/>
        <w:spacing w:after="0" w:line="246" w:lineRule="auto"/>
        <w:tabs>
          <w:tab w:leader="none" w:pos="118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Record Retention</w:t>
      </w:r>
      <w:r>
        <w:rPr>
          <w:rFonts w:ascii="Times New Roman" w:cs="Times New Roman" w:eastAsia="Times New Roman" w:hAnsi="Times New Roman"/>
          <w:sz w:val="22"/>
          <w:szCs w:val="22"/>
          <w:color w:val="auto"/>
        </w:rPr>
        <w:t>. The Company will, pursuant to reasonable procedures developed in good faith, retain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copies of each Issuer Free Writing Prospectus that is not filed with the Commission in accordance with Rule 433 under the Securities Act.</w:t>
      </w:r>
    </w:p>
    <w:p>
      <w:pPr>
        <w:spacing w:after="0" w:line="167" w:lineRule="exact"/>
        <w:rPr>
          <w:rFonts w:ascii="Times New Roman" w:cs="Times New Roman" w:eastAsia="Times New Roman" w:hAnsi="Times New Roman"/>
          <w:sz w:val="22"/>
          <w:szCs w:val="22"/>
          <w:color w:val="auto"/>
        </w:rPr>
      </w:pPr>
    </w:p>
    <w:p>
      <w:pPr>
        <w:ind w:left="3" w:right="180" w:firstLine="745"/>
        <w:spacing w:after="0" w:line="262" w:lineRule="auto"/>
        <w:tabs>
          <w:tab w:leader="none" w:pos="118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Filings. </w:t>
      </w:r>
      <w:r>
        <w:rPr>
          <w:rFonts w:ascii="Times New Roman" w:cs="Times New Roman" w:eastAsia="Times New Roman" w:hAnsi="Times New Roman"/>
          <w:sz w:val="22"/>
          <w:szCs w:val="22"/>
          <w:color w:val="auto"/>
        </w:rPr>
        <w:t>The Company will file with the Commission such reports as may be required by Rule 463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Securities Act.</w:t>
      </w:r>
    </w:p>
    <w:p>
      <w:pPr>
        <w:spacing w:after="0" w:line="149" w:lineRule="exact"/>
        <w:rPr>
          <w:rFonts w:ascii="Times New Roman" w:cs="Times New Roman" w:eastAsia="Times New Roman" w:hAnsi="Times New Roman"/>
          <w:sz w:val="22"/>
          <w:szCs w:val="22"/>
          <w:color w:val="auto"/>
        </w:rPr>
      </w:pPr>
    </w:p>
    <w:p>
      <w:pPr>
        <w:ind w:left="3" w:right="200" w:firstLine="745"/>
        <w:spacing w:after="0" w:line="241" w:lineRule="auto"/>
        <w:tabs>
          <w:tab w:leader="none" w:pos="118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Emerging Growth Company</w:t>
      </w:r>
      <w:r>
        <w:rPr>
          <w:rFonts w:ascii="Times New Roman" w:cs="Times New Roman" w:eastAsia="Times New Roman" w:hAnsi="Times New Roman"/>
          <w:sz w:val="22"/>
          <w:szCs w:val="22"/>
          <w:color w:val="auto"/>
        </w:rPr>
        <w:t>. The Company will promptly notify the Representatives if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ceases to be an Emerging Growth Company at any time prior to the later of (i) completion of the distribution of Shares within the meaning of the Securities Act and (ii) completion of the 90-day restricted period referred to in Section 4(h) hereof.</w:t>
      </w:r>
    </w:p>
    <w:p>
      <w:pPr>
        <w:spacing w:after="0" w:line="175"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Agreements of the Underwriters</w:t>
      </w:r>
      <w:r>
        <w:rPr>
          <w:rFonts w:ascii="Times New Roman" w:cs="Times New Roman" w:eastAsia="Times New Roman" w:hAnsi="Times New Roman"/>
          <w:sz w:val="22"/>
          <w:szCs w:val="22"/>
          <w:color w:val="auto"/>
        </w:rPr>
        <w:t>. Each Underwriter hereby severally represents and agrees that:</w:t>
      </w:r>
    </w:p>
    <w:p>
      <w:pPr>
        <w:spacing w:after="0" w:line="206" w:lineRule="exact"/>
        <w:rPr>
          <w:rFonts w:ascii="Times New Roman" w:cs="Times New Roman" w:eastAsia="Times New Roman" w:hAnsi="Times New Roman"/>
          <w:sz w:val="22"/>
          <w:szCs w:val="22"/>
          <w:color w:val="auto"/>
        </w:rPr>
      </w:pPr>
    </w:p>
    <w:p>
      <w:pPr>
        <w:ind w:left="3" w:firstLine="745"/>
        <w:spacing w:after="0" w:line="246" w:lineRule="auto"/>
        <w:tabs>
          <w:tab w:leader="none" w:pos="118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175" w:lineRule="exact"/>
        <w:rPr>
          <w:rFonts w:ascii="Times New Roman" w:cs="Times New Roman" w:eastAsia="Times New Roman" w:hAnsi="Times New Roman"/>
          <w:sz w:val="21"/>
          <w:szCs w:val="21"/>
          <w:color w:val="auto"/>
        </w:rPr>
      </w:pPr>
    </w:p>
    <w:p>
      <w:pPr>
        <w:ind w:left="3" w:right="20" w:firstLine="745"/>
        <w:spacing w:after="0" w:line="236" w:lineRule="auto"/>
        <w:tabs>
          <w:tab w:leader="none" w:pos="118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Underwriters may use a term sheet substantially in the form of Annex B hereto without the consent of the Company;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any Underwriter using such term sheet shall notify the Company, and provide a copy of such term sheet to the Company, prior to, or substantially concurrently with, the first use of such term sheet.</w:t>
      </w:r>
    </w:p>
    <w:p>
      <w:pPr>
        <w:spacing w:after="0" w:line="181"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889635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04" w:right="379" w:bottom="1440" w:gutter="0" w:footer="0" w:header="0"/>
        </w:sectPr>
      </w:pPr>
    </w:p>
    <w:bookmarkStart w:id="74" w:name="page75"/>
    <w:bookmarkEnd w:id="74"/>
    <w:p>
      <w:pPr>
        <w:jc w:val="both"/>
        <w:ind w:left="740" w:right="560" w:firstLine="745"/>
        <w:spacing w:after="0" w:line="244" w:lineRule="auto"/>
        <w:tabs>
          <w:tab w:leader="none" w:pos="192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3" w:lineRule="exact"/>
        <w:rPr>
          <w:rFonts w:ascii="Times New Roman" w:cs="Times New Roman" w:eastAsia="Times New Roman" w:hAnsi="Times New Roman"/>
          <w:sz w:val="22"/>
          <w:szCs w:val="22"/>
          <w:color w:val="auto"/>
        </w:rPr>
      </w:pPr>
    </w:p>
    <w:p>
      <w:pPr>
        <w:ind w:left="-20" w:firstLine="757"/>
        <w:spacing w:after="0" w:line="244" w:lineRule="auto"/>
        <w:tabs>
          <w:tab w:leader="none" w:pos="99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Underwriters’ Obligations.</w:t>
      </w:r>
      <w:r>
        <w:rPr>
          <w:rFonts w:ascii="Times New Roman" w:cs="Times New Roman" w:eastAsia="Times New Roman" w:hAnsi="Times New Roman"/>
          <w:sz w:val="22"/>
          <w:szCs w:val="22"/>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169" w:lineRule="exact"/>
        <w:rPr>
          <w:rFonts w:ascii="Times New Roman" w:cs="Times New Roman" w:eastAsia="Times New Roman" w:hAnsi="Times New Roman"/>
          <w:sz w:val="22"/>
          <w:szCs w:val="22"/>
          <w:color w:val="auto"/>
        </w:rPr>
      </w:pPr>
    </w:p>
    <w:p>
      <w:pPr>
        <w:ind w:left="740" w:right="40" w:firstLine="745"/>
        <w:spacing w:after="0" w:line="236" w:lineRule="auto"/>
        <w:tabs>
          <w:tab w:leader="none" w:pos="192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Registration Compliance; No Stop Order. </w:t>
      </w:r>
      <w:r>
        <w:rPr>
          <w:rFonts w:ascii="Times New Roman" w:cs="Times New Roman" w:eastAsia="Times New Roman" w:hAnsi="Times New Roman"/>
          <w:sz w:val="22"/>
          <w:szCs w:val="22"/>
          <w:color w:val="auto"/>
        </w:rPr>
        <w:t>No order suspending the effectiveness of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75" w:lineRule="exact"/>
        <w:rPr>
          <w:rFonts w:ascii="Times New Roman" w:cs="Times New Roman" w:eastAsia="Times New Roman" w:hAnsi="Times New Roman"/>
          <w:sz w:val="22"/>
          <w:szCs w:val="22"/>
          <w:color w:val="auto"/>
        </w:rPr>
      </w:pPr>
    </w:p>
    <w:p>
      <w:pPr>
        <w:ind w:left="740" w:right="60" w:firstLine="745"/>
        <w:spacing w:after="0" w:line="241" w:lineRule="auto"/>
        <w:tabs>
          <w:tab w:leader="none" w:pos="192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Representations and Warranties. </w:t>
      </w:r>
      <w:r>
        <w:rPr>
          <w:rFonts w:ascii="Times New Roman" w:cs="Times New Roman" w:eastAsia="Times New Roman" w:hAnsi="Times New Roman"/>
          <w:sz w:val="22"/>
          <w:szCs w:val="22"/>
          <w:color w:val="auto"/>
        </w:rPr>
        <w:t>The representations and warranties of the Company contained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71" w:lineRule="exact"/>
        <w:rPr>
          <w:rFonts w:ascii="Times New Roman" w:cs="Times New Roman" w:eastAsia="Times New Roman" w:hAnsi="Times New Roman"/>
          <w:sz w:val="22"/>
          <w:szCs w:val="22"/>
          <w:color w:val="auto"/>
        </w:rPr>
      </w:pPr>
    </w:p>
    <w:p>
      <w:pPr>
        <w:ind w:left="740" w:right="120" w:firstLine="745"/>
        <w:spacing w:after="0" w:line="248" w:lineRule="auto"/>
        <w:tabs>
          <w:tab w:leader="none" w:pos="1921"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Downgrade. </w:t>
      </w:r>
      <w:r>
        <w:rPr>
          <w:rFonts w:ascii="Times New Roman" w:cs="Times New Roman" w:eastAsia="Times New Roman" w:hAnsi="Times New Roman"/>
          <w:sz w:val="21"/>
          <w:szCs w:val="21"/>
          <w:color w:val="auto"/>
        </w:rPr>
        <w:t>Subsequent to the earlier of (A) the Applicable Time and (B) the execution and delivery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this 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170" w:lineRule="exact"/>
        <w:rPr>
          <w:rFonts w:ascii="Times New Roman" w:cs="Times New Roman" w:eastAsia="Times New Roman" w:hAnsi="Times New Roman"/>
          <w:sz w:val="21"/>
          <w:szCs w:val="21"/>
          <w:color w:val="auto"/>
        </w:rPr>
      </w:pPr>
    </w:p>
    <w:p>
      <w:pPr>
        <w:ind w:left="740" w:right="40" w:firstLine="745"/>
        <w:spacing w:after="0" w:line="237" w:lineRule="auto"/>
        <w:tabs>
          <w:tab w:leader="none" w:pos="192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Adverse Change. </w:t>
      </w:r>
      <w:r>
        <w:rPr>
          <w:rFonts w:ascii="Times New Roman" w:cs="Times New Roman" w:eastAsia="Times New Roman" w:hAnsi="Times New Roman"/>
          <w:sz w:val="22"/>
          <w:szCs w:val="22"/>
          <w:color w:val="auto"/>
        </w:rPr>
        <w:t>No event or condition of a type described in Section 3(i) hereof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889635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75" w:name="page76"/>
    <w:bookmarkEnd w:id="75"/>
    <w:p>
      <w:pPr>
        <w:ind w:left="-360" w:firstLine="745"/>
        <w:spacing w:after="0" w:line="235" w:lineRule="auto"/>
        <w:tabs>
          <w:tab w:leader="none" w:pos="82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The Representatives shall have received on and as of the Closing Date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Closing Date, as the case may 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of the Company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(c) and (d) above.</w:t>
      </w:r>
    </w:p>
    <w:p>
      <w:pPr>
        <w:spacing w:after="0" w:line="173" w:lineRule="exact"/>
        <w:rPr>
          <w:rFonts w:ascii="Times New Roman" w:cs="Times New Roman" w:eastAsia="Times New Roman" w:hAnsi="Times New Roman"/>
          <w:sz w:val="22"/>
          <w:szCs w:val="22"/>
          <w:color w:val="auto"/>
        </w:rPr>
      </w:pPr>
    </w:p>
    <w:p>
      <w:pPr>
        <w:ind w:left="-360" w:firstLine="745"/>
        <w:spacing w:after="0" w:line="235" w:lineRule="auto"/>
        <w:tabs>
          <w:tab w:leader="none" w:pos="82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Comfort Letters. </w:t>
      </w:r>
      <w:r>
        <w:rPr>
          <w:rFonts w:ascii="Times New Roman" w:cs="Times New Roman" w:eastAsia="Times New Roman" w:hAnsi="Times New Roman"/>
          <w:sz w:val="22"/>
          <w:szCs w:val="22"/>
          <w:color w:val="auto"/>
        </w:rPr>
        <w:t>On the date of this Agreement and on the Closing Date or the Additional Closing Date,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case may be, Ernst &amp; 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173" w:lineRule="exact"/>
        <w:rPr>
          <w:rFonts w:ascii="Times New Roman" w:cs="Times New Roman" w:eastAsia="Times New Roman" w:hAnsi="Times New Roman"/>
          <w:sz w:val="22"/>
          <w:szCs w:val="22"/>
          <w:color w:val="auto"/>
        </w:rPr>
      </w:pPr>
    </w:p>
    <w:p>
      <w:pPr>
        <w:ind w:left="-360" w:right="160" w:firstLine="745"/>
        <w:spacing w:after="0" w:line="256" w:lineRule="auto"/>
        <w:tabs>
          <w:tab w:leader="none" w:pos="82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Opinion of Intellectual Property Counsel for the Company</w:t>
      </w:r>
      <w:r>
        <w:rPr>
          <w:rFonts w:ascii="Times New Roman" w:cs="Times New Roman" w:eastAsia="Times New Roman" w:hAnsi="Times New Roman"/>
          <w:sz w:val="21"/>
          <w:szCs w:val="21"/>
          <w:color w:val="auto"/>
        </w:rPr>
        <w:t>. Wilson Sonsini Goodrich &amp; Rosati,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Professional Corporation, intellectual property counsel for the Company, shall have 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157" w:lineRule="exact"/>
        <w:rPr>
          <w:rFonts w:ascii="Times New Roman" w:cs="Times New Roman" w:eastAsia="Times New Roman" w:hAnsi="Times New Roman"/>
          <w:sz w:val="21"/>
          <w:szCs w:val="21"/>
          <w:color w:val="auto"/>
        </w:rPr>
      </w:pPr>
    </w:p>
    <w:p>
      <w:pPr>
        <w:ind w:left="-360" w:right="20" w:firstLine="745"/>
        <w:spacing w:after="0" w:line="241" w:lineRule="auto"/>
        <w:tabs>
          <w:tab w:leader="none" w:pos="82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and 10b-5 Statement of Counsel for the Company. </w:t>
      </w:r>
      <w:r>
        <w:rPr>
          <w:rFonts w:ascii="Times New Roman" w:cs="Times New Roman" w:eastAsia="Times New Roman" w:hAnsi="Times New Roman"/>
          <w:sz w:val="22"/>
          <w:szCs w:val="22"/>
          <w:color w:val="auto"/>
        </w:rPr>
        <w:t>Goodwin Procter LLP, counsel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shall 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171" w:lineRule="exact"/>
        <w:rPr>
          <w:rFonts w:ascii="Times New Roman" w:cs="Times New Roman" w:eastAsia="Times New Roman" w:hAnsi="Times New Roman"/>
          <w:sz w:val="22"/>
          <w:szCs w:val="22"/>
          <w:color w:val="auto"/>
        </w:rPr>
      </w:pPr>
    </w:p>
    <w:p>
      <w:pPr>
        <w:ind w:left="-360" w:right="20" w:firstLine="745"/>
        <w:spacing w:after="0" w:line="238" w:lineRule="auto"/>
        <w:tabs>
          <w:tab w:leader="none" w:pos="82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and 10b-5 Statement of Counsel for the Underwriters. </w:t>
      </w:r>
      <w:r>
        <w:rPr>
          <w:rFonts w:ascii="Times New Roman" w:cs="Times New Roman" w:eastAsia="Times New Roman" w:hAnsi="Times New Roman"/>
          <w:sz w:val="22"/>
          <w:szCs w:val="22"/>
          <w:color w:val="auto"/>
        </w:rPr>
        <w:t>The Representatives shall have received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as of the Closing Date or 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76" w:name="page77"/>
    <w:bookmarkEnd w:id="76"/>
    <w:p>
      <w:pPr>
        <w:ind w:left="760" w:right="20" w:firstLine="745"/>
        <w:spacing w:after="0" w:line="237"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Legal Impediment to Issuance and/or Sale. </w:t>
      </w:r>
      <w:r>
        <w:rPr>
          <w:rFonts w:ascii="Times New Roman" w:cs="Times New Roman" w:eastAsia="Times New Roman" w:hAnsi="Times New Roman"/>
          <w:sz w:val="22"/>
          <w:szCs w:val="22"/>
          <w:color w:val="auto"/>
        </w:rPr>
        <w:t>No action shall have been taken and no statute, rule,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 or order shall have been enacted, adopted or issued by any federal, state or foreign governmental or regulatory authority that would, as of the Closing Date or the Additional Closing Date, as the case may be, prevent the issuance or sale of the Shares by the Company; and no injunction or order of any federal, state or foreign court shall have been issued that would, as of the Closing Date or the Additional Closing Date, as the case may be, prevent the issuance or sale of the Shares by the Company.</w:t>
      </w:r>
    </w:p>
    <w:p>
      <w:pPr>
        <w:spacing w:after="0" w:line="175" w:lineRule="exact"/>
        <w:rPr>
          <w:rFonts w:ascii="Times New Roman" w:cs="Times New Roman" w:eastAsia="Times New Roman" w:hAnsi="Times New Roman"/>
          <w:sz w:val="22"/>
          <w:szCs w:val="22"/>
          <w:color w:val="auto"/>
        </w:rPr>
      </w:pPr>
    </w:p>
    <w:p>
      <w:pPr>
        <w:ind w:left="760" w:right="240" w:firstLine="745"/>
        <w:spacing w:after="0" w:line="238"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Good Standing</w:t>
      </w:r>
      <w:r>
        <w:rPr>
          <w:rFonts w:ascii="Times New Roman" w:cs="Times New Roman" w:eastAsia="Times New Roman" w:hAnsi="Times New Roman"/>
          <w:sz w:val="22"/>
          <w:szCs w:val="22"/>
          <w:color w:val="auto"/>
        </w:rPr>
        <w:t>. The Representatives shall have received on and as of the Closing Date or the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as the case may be, satisfactory evidence of the good standing of the Company in its jurisdiction of organization and its good standing in such other jurisdictions as the Representatives may reasonably request, in each case in writing or any standard form of telecommunication from the appropriate governmental authorities of such jurisdictions.</w:t>
      </w:r>
    </w:p>
    <w:p>
      <w:pPr>
        <w:spacing w:after="0" w:line="176" w:lineRule="exact"/>
        <w:rPr>
          <w:rFonts w:ascii="Times New Roman" w:cs="Times New Roman" w:eastAsia="Times New Roman" w:hAnsi="Times New Roman"/>
          <w:sz w:val="22"/>
          <w:szCs w:val="22"/>
          <w:color w:val="auto"/>
        </w:rPr>
      </w:pPr>
    </w:p>
    <w:p>
      <w:pPr>
        <w:ind w:left="760" w:right="240" w:firstLine="745"/>
        <w:spacing w:after="0" w:line="246"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Exchange Listing. </w:t>
      </w:r>
      <w:r>
        <w:rPr>
          <w:rFonts w:ascii="Times New Roman" w:cs="Times New Roman" w:eastAsia="Times New Roman" w:hAnsi="Times New Roman"/>
          <w:sz w:val="22"/>
          <w:szCs w:val="22"/>
          <w:color w:val="auto"/>
        </w:rPr>
        <w:t>The Shares to be delivered on the Closing Date or the Additional Closing Date,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case may be, shall have been approved for listing on the Nasdaq Global Select Market, subject to official notice of issuance.</w:t>
      </w:r>
    </w:p>
    <w:p>
      <w:pPr>
        <w:spacing w:after="0" w:line="167" w:lineRule="exact"/>
        <w:rPr>
          <w:rFonts w:ascii="Times New Roman" w:cs="Times New Roman" w:eastAsia="Times New Roman" w:hAnsi="Times New Roman"/>
          <w:sz w:val="22"/>
          <w:szCs w:val="22"/>
          <w:color w:val="auto"/>
        </w:rPr>
      </w:pPr>
    </w:p>
    <w:p>
      <w:pPr>
        <w:ind w:left="760" w:firstLine="745"/>
        <w:spacing w:after="0" w:line="241"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Lock-up Agreements</w:t>
      </w:r>
      <w:r>
        <w:rPr>
          <w:rFonts w:ascii="Times New Roman" w:cs="Times New Roman" w:eastAsia="Times New Roman" w:hAnsi="Times New Roman"/>
          <w:sz w:val="22"/>
          <w:szCs w:val="22"/>
          <w:color w:val="auto"/>
        </w:rPr>
        <w:t>. The “lock-up” agreements, each substantially in the form of Exhibit A hereto,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between the Representatives and certain shareholders, officers and directors of the Company, relating to sales and certain other dispositions of shares of Stock or certain other securities, delivered to the Representatives on or before the date hereof, shall be full force and effect on the Closing Date or the Additional Closing Date, as the case may be.</w:t>
      </w:r>
    </w:p>
    <w:p>
      <w:pPr>
        <w:spacing w:after="0" w:line="171" w:lineRule="exact"/>
        <w:rPr>
          <w:rFonts w:ascii="Times New Roman" w:cs="Times New Roman" w:eastAsia="Times New Roman" w:hAnsi="Times New Roman"/>
          <w:sz w:val="22"/>
          <w:szCs w:val="22"/>
          <w:color w:val="auto"/>
        </w:rPr>
      </w:pPr>
    </w:p>
    <w:p>
      <w:pPr>
        <w:ind w:left="760" w:right="20" w:firstLine="745"/>
        <w:spacing w:after="0" w:line="246"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Additional Documents. </w:t>
      </w:r>
      <w:r>
        <w:rPr>
          <w:rFonts w:ascii="Times New Roman" w:cs="Times New Roman" w:eastAsia="Times New Roman" w:hAnsi="Times New Roman"/>
          <w:sz w:val="22"/>
          <w:szCs w:val="22"/>
          <w:color w:val="auto"/>
        </w:rPr>
        <w:t>On or prior to the Closing Date or the Additional Closing Date, as the case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shall have furnished to the Representatives such further certificates and documents as the Representatives may reasonably request.</w:t>
      </w:r>
    </w:p>
    <w:p>
      <w:pPr>
        <w:spacing w:after="0" w:line="171"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7. Indemnification and Contribution.</w:t>
      </w:r>
    </w:p>
    <w:p>
      <w:pPr>
        <w:spacing w:after="0" w:line="202" w:lineRule="exact"/>
        <w:rPr>
          <w:sz w:val="20"/>
          <w:szCs w:val="20"/>
          <w:color w:val="auto"/>
        </w:rPr>
      </w:pPr>
    </w:p>
    <w:p>
      <w:pPr>
        <w:ind w:right="140" w:firstLine="757"/>
        <w:spacing w:after="0" w:line="250" w:lineRule="auto"/>
        <w:tabs>
          <w:tab w:leader="none" w:pos="118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of the Underwriters by the Company. </w:t>
      </w:r>
      <w:r>
        <w:rPr>
          <w:rFonts w:ascii="Times New Roman" w:cs="Times New Roman" w:eastAsia="Times New Roman" w:hAnsi="Times New Roman"/>
          <w:sz w:val="21"/>
          <w:szCs w:val="21"/>
          <w:color w:val="auto"/>
        </w:rPr>
        <w:t>The Company agrees to indemnify and hold harmless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7" w:name="page78"/>
    <w:bookmarkEnd w:id="77"/>
    <w:p>
      <w:pPr>
        <w:ind w:right="60"/>
        <w:spacing w:after="0" w:line="245" w:lineRule="auto"/>
        <w:rPr>
          <w:sz w:val="20"/>
          <w:szCs w:val="20"/>
          <w:color w:val="auto"/>
        </w:rPr>
      </w:pPr>
      <w:r>
        <w:rPr>
          <w:rFonts w:ascii="Times New Roman" w:cs="Times New Roman" w:eastAsia="Times New Roman" w:hAnsi="Times New Roman"/>
          <w:sz w:val="21"/>
          <w:szCs w:val="21"/>
          <w:color w:val="auto"/>
        </w:rPr>
        <w:t>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70" w:lineRule="exact"/>
        <w:rPr>
          <w:sz w:val="20"/>
          <w:szCs w:val="20"/>
          <w:color w:val="auto"/>
        </w:rPr>
      </w:pPr>
    </w:p>
    <w:p>
      <w:pPr>
        <w:ind w:right="40" w:firstLine="757"/>
        <w:spacing w:after="0" w:line="233" w:lineRule="auto"/>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of the Company. </w:t>
      </w:r>
      <w:r>
        <w:rPr>
          <w:rFonts w:ascii="Times New Roman" w:cs="Times New Roman" w:eastAsia="Times New Roman" w:hAnsi="Times New Roman"/>
          <w:sz w:val="22"/>
          <w:szCs w:val="22"/>
          <w:color w:val="auto"/>
        </w:rPr>
        <w:t>Each Underwriter agrees, severally and not jointly, to indemnify and hold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the information contained in the fifteenth, sixteenth and seventeenth paragraphs under the caption “Underwriting”.</w:t>
      </w:r>
    </w:p>
    <w:p>
      <w:pPr>
        <w:spacing w:after="0" w:line="182" w:lineRule="exact"/>
        <w:rPr>
          <w:rFonts w:ascii="Times New Roman" w:cs="Times New Roman" w:eastAsia="Times New Roman" w:hAnsi="Times New Roman"/>
          <w:sz w:val="22"/>
          <w:szCs w:val="22"/>
          <w:color w:val="auto"/>
        </w:rPr>
      </w:pPr>
    </w:p>
    <w:p>
      <w:pPr>
        <w:ind w:firstLine="757"/>
        <w:spacing w:after="0" w:line="235" w:lineRule="auto"/>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and Procedures. </w:t>
      </w:r>
      <w:r>
        <w:rPr>
          <w:rFonts w:ascii="Times New Roman" w:cs="Times New Roman" w:eastAsia="Times New Roman" w:hAnsi="Times New Roman"/>
          <w:sz w:val="22"/>
          <w:szCs w:val="22"/>
          <w:color w:val="auto"/>
        </w:rPr>
        <w:t>If any suit, action, proceeding (including any governmental or regulatory investigation),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failure to notify the Indemnifying Person shall not relieve it from any liability that it may have to an Indemnified Person otherwise than under the preceding paragraphs of this Section 7. If any such proceeding shall be brought or asserted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8" w:name="page79"/>
    <w:bookmarkEnd w:id="78"/>
    <w:p>
      <w:pPr>
        <w:spacing w:after="0" w:line="242" w:lineRule="auto"/>
        <w:rPr>
          <w:sz w:val="20"/>
          <w:szCs w:val="20"/>
          <w:color w:val="auto"/>
        </w:rPr>
      </w:pPr>
      <w:r>
        <w:rPr>
          <w:rFonts w:ascii="Times New Roman" w:cs="Times New Roman" w:eastAsia="Times New Roman" w:hAnsi="Times New Roman"/>
          <w:sz w:val="21"/>
          <w:szCs w:val="21"/>
          <w:color w:val="auto"/>
        </w:rPr>
        <w:t>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reasonable and documented fees and expenses in such proceeding including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J.P. Morgan Securities LLC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97" w:lineRule="exact"/>
        <w:rPr>
          <w:sz w:val="20"/>
          <w:szCs w:val="20"/>
          <w:color w:val="auto"/>
        </w:rPr>
      </w:pPr>
    </w:p>
    <w:p>
      <w:pPr>
        <w:ind w:right="280" w:firstLine="757"/>
        <w:spacing w:after="0" w:line="262" w:lineRule="auto"/>
        <w:tabs>
          <w:tab w:leader="none" w:pos="118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Contribution. </w:t>
      </w:r>
      <w:r>
        <w:rPr>
          <w:rFonts w:ascii="Times New Roman" w:cs="Times New Roman" w:eastAsia="Times New Roman" w:hAnsi="Times New Roman"/>
          <w:sz w:val="22"/>
          <w:szCs w:val="22"/>
          <w:color w:val="auto"/>
        </w:rPr>
        <w:t>If the indemnification provided for in paragraphs (a) or (b) above is unavailable to an Indemnified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or insufficient in respect of any losses, claims, damages or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79" w:name="page80"/>
    <w:bookmarkEnd w:id="79"/>
    <w:p>
      <w:pPr>
        <w:ind w:right="80"/>
        <w:spacing w:after="0" w:line="244" w:lineRule="auto"/>
        <w:rPr>
          <w:sz w:val="20"/>
          <w:szCs w:val="20"/>
          <w:color w:val="auto"/>
        </w:rPr>
      </w:pPr>
      <w:r>
        <w:rPr>
          <w:rFonts w:ascii="Times New Roman" w:cs="Times New Roman" w:eastAsia="Times New Roman" w:hAnsi="Times New Roman"/>
          <w:sz w:val="21"/>
          <w:szCs w:val="21"/>
          <w:color w:val="auto"/>
        </w:rPr>
        <w:t>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as the case may be,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4" w:lineRule="exact"/>
        <w:rPr>
          <w:sz w:val="20"/>
          <w:szCs w:val="20"/>
          <w:color w:val="auto"/>
        </w:rPr>
      </w:pPr>
    </w:p>
    <w:p>
      <w:pPr>
        <w:ind w:firstLine="757"/>
        <w:spacing w:after="0" w:line="233" w:lineRule="auto"/>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Limitation on Liability. </w:t>
      </w:r>
      <w:r>
        <w:rPr>
          <w:rFonts w:ascii="Times New Roman" w:cs="Times New Roman" w:eastAsia="Times New Roman" w:hAnsi="Times New Roman"/>
          <w:sz w:val="22"/>
          <w:szCs w:val="22"/>
          <w:color w:val="auto"/>
        </w:rPr>
        <w:t>The Company and the Underwriters agree that it would not be just and equitable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contribution pursuant to paragraph (d) above were determined by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82" w:lineRule="exact"/>
        <w:rPr>
          <w:rFonts w:ascii="Times New Roman" w:cs="Times New Roman" w:eastAsia="Times New Roman" w:hAnsi="Times New Roman"/>
          <w:sz w:val="22"/>
          <w:szCs w:val="22"/>
          <w:color w:val="auto"/>
        </w:rPr>
      </w:pPr>
    </w:p>
    <w:p>
      <w:pPr>
        <w:ind w:right="500" w:firstLine="757"/>
        <w:spacing w:after="0" w:line="262" w:lineRule="auto"/>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Non-Exclusive Remedies. </w:t>
      </w:r>
      <w:r>
        <w:rPr>
          <w:rFonts w:ascii="Times New Roman" w:cs="Times New Roman" w:eastAsia="Times New Roman" w:hAnsi="Times New Roman"/>
          <w:sz w:val="22"/>
          <w:szCs w:val="22"/>
          <w:color w:val="auto"/>
        </w:rPr>
        <w:t>The remedies provided for in this Section 7 are not exclusive and shall not limit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or remedies which may otherwise be available to any Indemnified Person at law or in equity.</w:t>
      </w:r>
    </w:p>
    <w:p>
      <w:pPr>
        <w:spacing w:after="0" w:line="154" w:lineRule="exact"/>
        <w:rPr>
          <w:sz w:val="20"/>
          <w:szCs w:val="20"/>
          <w:color w:val="auto"/>
        </w:rPr>
      </w:pPr>
    </w:p>
    <w:p>
      <w:pPr>
        <w:jc w:val="center"/>
        <w:ind w:left="5440" w:right="1360" w:hanging="4683"/>
        <w:spacing w:after="0" w:line="463" w:lineRule="auto"/>
        <w:tabs>
          <w:tab w:leader="none" w:pos="102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Agreement</w:t>
      </w:r>
      <w:r>
        <w:rPr>
          <w:rFonts w:ascii="Times New Roman" w:cs="Times New Roman" w:eastAsia="Times New Roman" w:hAnsi="Times New Roman"/>
          <w:sz w:val="22"/>
          <w:szCs w:val="22"/>
          <w:color w:val="auto"/>
        </w:rPr>
        <w:t>. This Agreement shall become effective as of the date first written above.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0" w:name="page81"/>
    <w:bookmarkEnd w:id="80"/>
    <w:p>
      <w:pPr>
        <w:ind w:left="-60" w:right="40" w:firstLine="757"/>
        <w:spacing w:after="0" w:line="234" w:lineRule="auto"/>
        <w:tabs>
          <w:tab w:leader="none" w:pos="95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 (i) trading generally shall have been suspended or materially limited on or by any of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Defaulting Underwriter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0" w:firstLine="757"/>
        <w:spacing w:after="0" w:line="247" w:lineRule="exact"/>
        <w:tabs>
          <w:tab w:leader="none" w:pos="112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78" w:lineRule="exact"/>
        <w:rPr>
          <w:rFonts w:ascii="Times New Roman" w:cs="Times New Roman" w:eastAsia="Times New Roman" w:hAnsi="Times New Roman"/>
          <w:sz w:val="22"/>
          <w:szCs w:val="22"/>
          <w:color w:val="auto"/>
        </w:rPr>
      </w:pPr>
    </w:p>
    <w:p>
      <w:pPr>
        <w:ind w:left="-60" w:right="40" w:firstLine="757"/>
        <w:spacing w:after="0" w:line="248" w:lineRule="auto"/>
        <w:tabs>
          <w:tab w:leader="none" w:pos="112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889635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08" w:right="399" w:bottom="1440" w:gutter="0" w:footer="0" w:header="0"/>
        </w:sectPr>
      </w:pPr>
    </w:p>
    <w:bookmarkStart w:id="81" w:name="page82"/>
    <w:bookmarkEnd w:id="81"/>
    <w:p>
      <w:pPr>
        <w:ind w:left="-8" w:firstLine="757"/>
        <w:spacing w:after="0" w:line="246" w:lineRule="auto"/>
        <w:tabs>
          <w:tab w:leader="none" w:pos="117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and the Underwriters will continue to be liable for the payment of expenses as set forth in Section 11 hereof and except that the provisions of Section 7 hereof shall not terminate and shall remain in effect.</w:t>
      </w:r>
    </w:p>
    <w:p>
      <w:pPr>
        <w:spacing w:after="0" w:line="175" w:lineRule="exact"/>
        <w:rPr>
          <w:rFonts w:ascii="Times New Roman" w:cs="Times New Roman" w:eastAsia="Times New Roman" w:hAnsi="Times New Roman"/>
          <w:sz w:val="21"/>
          <w:szCs w:val="21"/>
          <w:color w:val="auto"/>
        </w:rPr>
      </w:pPr>
    </w:p>
    <w:p>
      <w:pPr>
        <w:ind w:left="-8" w:right="120" w:firstLine="757"/>
        <w:spacing w:after="0" w:line="258" w:lineRule="auto"/>
        <w:tabs>
          <w:tab w:leader="none" w:pos="117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shall relieve a defaulting Underwriter of any liability it may have to the Company or any non-defaulting Underwriter for damages caused by its default.</w:t>
      </w:r>
    </w:p>
    <w:p>
      <w:pPr>
        <w:spacing w:after="0" w:line="15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Payment of Expenses</w:t>
      </w:r>
      <w:r>
        <w:rPr>
          <w:rFonts w:ascii="Times New Roman" w:cs="Times New Roman" w:eastAsia="Times New Roman" w:hAnsi="Times New Roman"/>
          <w:sz w:val="22"/>
          <w:szCs w:val="22"/>
          <w:i w:val="1"/>
          <w:iCs w:val="1"/>
          <w:color w:val="auto"/>
        </w:rPr>
        <w:t>.</w:t>
      </w:r>
    </w:p>
    <w:p>
      <w:pPr>
        <w:spacing w:after="0" w:line="210" w:lineRule="exact"/>
        <w:rPr>
          <w:sz w:val="20"/>
          <w:szCs w:val="20"/>
          <w:color w:val="auto"/>
        </w:rPr>
      </w:pPr>
    </w:p>
    <w:p>
      <w:pPr>
        <w:ind w:left="-8" w:right="40" w:firstLine="757"/>
        <w:spacing w:after="0" w:line="243" w:lineRule="auto"/>
        <w:tabs>
          <w:tab w:leader="none" w:pos="1173"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reasonable and documented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(in an amount not to exceed, when taken together with costs, fees and expenses incurred pursuant to clause (iv), $40,000 (exclusive of filing fees)) without the prior written consent of the Company;</w:t>
      </w:r>
    </w:p>
    <w:p>
      <w:pPr>
        <w:spacing w:after="0" w:line="4" w:lineRule="exact"/>
        <w:rPr>
          <w:rFonts w:ascii="Times New Roman" w:cs="Times New Roman" w:eastAsia="Times New Roman" w:hAnsi="Times New Roman"/>
          <w:sz w:val="21"/>
          <w:szCs w:val="21"/>
          <w:color w:val="auto"/>
        </w:rPr>
      </w:pPr>
    </w:p>
    <w:p>
      <w:pPr>
        <w:ind w:left="-8" w:right="20" w:firstLine="8"/>
        <w:spacing w:after="0" w:line="234" w:lineRule="auto"/>
        <w:tabs>
          <w:tab w:leader="none" w:pos="47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and documented expenses incurred by the Company in connection with any “road show” presentation to potential investors, provided, however, the Company and the Underwriters shall each pay 50% of the total costs of chartering any aircraft to be used in connection with any such “road shows”; and (ix) all expenses and application fees related to the listing of the Shares on the Nasdaq Global Select Market.</w:t>
      </w:r>
    </w:p>
    <w:p>
      <w:pPr>
        <w:spacing w:after="0" w:line="177" w:lineRule="exact"/>
        <w:rPr>
          <w:rFonts w:ascii="Times New Roman" w:cs="Times New Roman" w:eastAsia="Times New Roman" w:hAnsi="Times New Roman"/>
          <w:sz w:val="22"/>
          <w:szCs w:val="22"/>
          <w:color w:val="auto"/>
        </w:rPr>
      </w:pPr>
    </w:p>
    <w:p>
      <w:pPr>
        <w:ind w:left="-8" w:right="120" w:firstLine="757"/>
        <w:spacing w:after="0" w:line="261" w:lineRule="auto"/>
        <w:tabs>
          <w:tab w:leader="none" w:pos="1173"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this Agreement is terminated pursuant to Section 9, (ii) the Company for any reason fails to tender the Shares for delivery to the Underwriters (other than by reason of a default by any Underwriter) or (iii) the Underwriters decline to purchase the Shares for any reason permitted under this Agreement, the Company agrees to reimburse the Underwriters for</w:t>
      </w:r>
    </w:p>
    <w:p>
      <w:pPr>
        <w:spacing w:after="0" w:line="1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889635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8" w:right="359" w:bottom="1440" w:gutter="0" w:footer="0" w:header="0"/>
        </w:sectPr>
      </w:pPr>
    </w:p>
    <w:bookmarkStart w:id="82" w:name="page83"/>
    <w:bookmarkEnd w:id="82"/>
    <w:p>
      <w:pPr>
        <w:ind w:right="80"/>
        <w:spacing w:after="0" w:line="239" w:lineRule="auto"/>
        <w:rPr>
          <w:sz w:val="20"/>
          <w:szCs w:val="20"/>
          <w:color w:val="auto"/>
        </w:rPr>
      </w:pPr>
      <w:r>
        <w:rPr>
          <w:rFonts w:ascii="Times New Roman" w:cs="Times New Roman" w:eastAsia="Times New Roman" w:hAnsi="Times New Roman"/>
          <w:sz w:val="22"/>
          <w:szCs w:val="22"/>
          <w:color w:val="auto"/>
        </w:rPr>
        <w:t>all reasonable and documented out-of-pocket costs and expenses (including the reasonable and documented fees and expenses of their counsel) incurred by the Underwriters in connection with this Agreement and the offering contemplated hereby. For the avoidance of doubt, the Company will not be required to pay or reimburse any costs, fees or expenses incurred by any Underwriter that defaults on its obligations to purchase the Shares, as described in Section 10 hereof.</w:t>
      </w:r>
    </w:p>
    <w:p>
      <w:pPr>
        <w:spacing w:after="0" w:line="180"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21"/>
          <w:szCs w:val="21"/>
          <w:color w:val="auto"/>
        </w:rPr>
        <w:t>12.</w:t>
      </w:r>
      <w:r>
        <w:rPr>
          <w:rFonts w:ascii="Times New Roman" w:cs="Times New Roman" w:eastAsia="Times New Roman" w:hAnsi="Times New Roman"/>
          <w:sz w:val="21"/>
          <w:szCs w:val="21"/>
          <w:u w:val="single" w:color="auto"/>
          <w:color w:val="auto"/>
        </w:rPr>
        <w:t>Persons Entitled to Benefit of Agreement</w:t>
      </w:r>
      <w:r>
        <w:rPr>
          <w:rFonts w:ascii="Times New Roman" w:cs="Times New Roman" w:eastAsia="Times New Roman" w:hAnsi="Times New Roman"/>
          <w:sz w:val="21"/>
          <w:szCs w:val="21"/>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68" w:lineRule="exact"/>
        <w:rPr>
          <w:sz w:val="20"/>
          <w:szCs w:val="20"/>
          <w:color w:val="auto"/>
        </w:rPr>
      </w:pPr>
    </w:p>
    <w:p>
      <w:pPr>
        <w:ind w:right="220" w:firstLine="749"/>
        <w:spacing w:after="0" w:line="23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1"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80"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Compliance with USA Patriot Act</w:t>
      </w:r>
      <w:r>
        <w:rPr>
          <w:rFonts w:ascii="Times New Roman" w:cs="Times New Roman" w:eastAsia="Times New Roman" w:hAnsi="Times New Roman"/>
          <w:sz w:val="22"/>
          <w:szCs w:val="22"/>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16.Miscellaneous.</w:t>
      </w:r>
    </w:p>
    <w:p>
      <w:pPr>
        <w:spacing w:after="0" w:line="202" w:lineRule="exact"/>
        <w:rPr>
          <w:sz w:val="20"/>
          <w:szCs w:val="20"/>
          <w:color w:val="auto"/>
        </w:rPr>
      </w:pPr>
    </w:p>
    <w:p>
      <w:pPr>
        <w:ind w:firstLine="757"/>
        <w:spacing w:after="0" w:line="250" w:lineRule="auto"/>
        <w:tabs>
          <w:tab w:leader="none" w:pos="118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Notices. </w:t>
      </w:r>
      <w:r>
        <w:rPr>
          <w:rFonts w:ascii="Times New Roman" w:cs="Times New Roman" w:eastAsia="Times New Roman" w:hAnsi="Times New Roman"/>
          <w:sz w:val="21"/>
          <w:szCs w:val="21"/>
          <w:color w:val="auto"/>
        </w:rPr>
        <w:t>All notices and other communications hereunder shall be in writing and shall be deemed to have been duly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given if mailed or transmitted and confirmed by any standard form of telecommunication. Notices to the Underwriters shall be given to the Representatives c/o J.P. Morgan Securities LLC, 383 Madison Avenue, New York, New York 10179 (fax: (212)</w:t>
      </w:r>
    </w:p>
    <w:p>
      <w:pPr>
        <w:spacing w:after="0" w:line="2" w:lineRule="exact"/>
        <w:rPr>
          <w:rFonts w:ascii="Times New Roman" w:cs="Times New Roman" w:eastAsia="Times New Roman" w:hAnsi="Times New Roman"/>
          <w:sz w:val="21"/>
          <w:szCs w:val="21"/>
          <w:color w:val="auto"/>
        </w:rPr>
      </w:pPr>
    </w:p>
    <w:p>
      <w:pPr>
        <w:ind w:right="10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622-8358), Attention: Equity Syndicate Desk; c/o Jefferies LLC, 520 Madison Avenue, New York, New York 10022, Attention: General Counsel. Notices to the Company shall be given to it at MBX Biosciences, Inc., 11711 N. Meridian Street, Suite 300 Carmel, Indiana 46032, Attention: Richard Bartram.</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83" w:name="page84"/>
    <w:bookmarkEnd w:id="83"/>
    <w:p>
      <w:pPr>
        <w:ind w:left="-20" w:right="180" w:firstLine="757"/>
        <w:spacing w:after="0" w:line="262" w:lineRule="auto"/>
        <w:tabs>
          <w:tab w:leader="none" w:pos="116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t>
      </w:r>
      <w:r>
        <w:rPr>
          <w:rFonts w:ascii="Times New Roman" w:cs="Times New Roman" w:eastAsia="Times New Roman" w:hAnsi="Times New Roman"/>
          <w:sz w:val="22"/>
          <w:szCs w:val="22"/>
          <w:color w:val="auto"/>
        </w:rPr>
        <w:t>This Agreement and any claim, controversy or dispute arising under or related to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governed by and construed in accordance with the laws of the State of New York.</w:t>
      </w:r>
    </w:p>
    <w:p>
      <w:pPr>
        <w:spacing w:after="0" w:line="149" w:lineRule="exact"/>
        <w:rPr>
          <w:rFonts w:ascii="Times New Roman" w:cs="Times New Roman" w:eastAsia="Times New Roman" w:hAnsi="Times New Roman"/>
          <w:sz w:val="22"/>
          <w:szCs w:val="22"/>
          <w:color w:val="auto"/>
        </w:rPr>
      </w:pPr>
    </w:p>
    <w:p>
      <w:pPr>
        <w:ind w:left="-20" w:right="20" w:firstLine="757"/>
        <w:spacing w:after="0" w:line="237" w:lineRule="auto"/>
        <w:tabs>
          <w:tab w:leader="none" w:pos="116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Submission to Jurisdiction</w:t>
      </w:r>
      <w:r>
        <w:rPr>
          <w:rFonts w:ascii="Times New Roman" w:cs="Times New Roman" w:eastAsia="Times New Roman" w:hAnsi="Times New Roman"/>
          <w:sz w:val="22"/>
          <w:szCs w:val="22"/>
          <w:color w:val="auto"/>
        </w:rPr>
        <w:t>. The Company hereby submits to the exclusive jurisdiction of the U.S. federal and New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75" w:lineRule="exact"/>
        <w:rPr>
          <w:rFonts w:ascii="Times New Roman" w:cs="Times New Roman" w:eastAsia="Times New Roman" w:hAnsi="Times New Roman"/>
          <w:sz w:val="22"/>
          <w:szCs w:val="22"/>
          <w:color w:val="auto"/>
        </w:rPr>
      </w:pPr>
    </w:p>
    <w:p>
      <w:pPr>
        <w:ind w:left="-20" w:right="300" w:firstLine="757"/>
        <w:spacing w:after="0" w:line="262" w:lineRule="auto"/>
        <w:tabs>
          <w:tab w:leader="none" w:pos="116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Waiver of Jury Trial. </w:t>
      </w:r>
      <w:r>
        <w:rPr>
          <w:rFonts w:ascii="Times New Roman" w:cs="Times New Roman" w:eastAsia="Times New Roman" w:hAnsi="Times New Roman"/>
          <w:sz w:val="22"/>
          <w:szCs w:val="22"/>
          <w:color w:val="auto"/>
        </w:rPr>
        <w:t>Each of the parties hereto hereby waives any right to trial by jury in any suit or proceeding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arising out of or relating to this Agreement.</w:t>
      </w:r>
    </w:p>
    <w:p>
      <w:pPr>
        <w:spacing w:after="0" w:line="149"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Recognition of the U.S. Special Resolution Regimes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740" w:right="180" w:firstLine="745"/>
        <w:spacing w:after="0" w:line="238" w:lineRule="auto"/>
        <w:tabs>
          <w:tab w:leader="none" w:pos="174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6" w:lineRule="exact"/>
        <w:rPr>
          <w:rFonts w:ascii="Times New Roman" w:cs="Times New Roman" w:eastAsia="Times New Roman" w:hAnsi="Times New Roman"/>
          <w:sz w:val="22"/>
          <w:szCs w:val="22"/>
          <w:color w:val="auto"/>
        </w:rPr>
      </w:pPr>
    </w:p>
    <w:p>
      <w:pPr>
        <w:ind w:left="740" w:firstLine="745"/>
        <w:spacing w:after="0" w:line="238" w:lineRule="auto"/>
        <w:tabs>
          <w:tab w:leader="none" w:pos="180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As used in this Section 16(e):</w:t>
      </w:r>
    </w:p>
    <w:p>
      <w:pPr>
        <w:spacing w:after="0" w:line="206" w:lineRule="exact"/>
        <w:rPr>
          <w:sz w:val="20"/>
          <w:szCs w:val="20"/>
          <w:color w:val="auto"/>
        </w:rPr>
      </w:pPr>
    </w:p>
    <w:p>
      <w:pPr>
        <w:ind w:left="1480" w:right="180"/>
        <w:spacing w:after="0" w:line="258" w:lineRule="auto"/>
        <w:rPr>
          <w:sz w:val="20"/>
          <w:szCs w:val="20"/>
          <w:color w:val="auto"/>
        </w:rPr>
      </w:pPr>
      <w:r>
        <w:rPr>
          <w:rFonts w:ascii="Times New Roman" w:cs="Times New Roman" w:eastAsia="Times New Roman" w:hAnsi="Times New Roman"/>
          <w:sz w:val="22"/>
          <w:szCs w:val="22"/>
          <w:color w:val="auto"/>
        </w:rPr>
        <w:t>“BHC Act Affiliate” has the meaning assigned to the term “affiliate” in, and shall be interpreted in accordance with, 12 U.S.C. § 1841(k).</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“Covered Entity” means any of the following:</w:t>
      </w:r>
    </w:p>
    <w:p>
      <w:pPr>
        <w:spacing w:after="0" w:line="206" w:lineRule="exact"/>
        <w:rPr>
          <w:sz w:val="20"/>
          <w:szCs w:val="20"/>
          <w:color w:val="auto"/>
        </w:rPr>
      </w:pPr>
    </w:p>
    <w:p>
      <w:pPr>
        <w:ind w:left="2120" w:hanging="260"/>
        <w:spacing w:after="0"/>
        <w:tabs>
          <w:tab w:leader="none" w:pos="21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06" w:lineRule="exact"/>
        <w:rPr>
          <w:rFonts w:ascii="Times New Roman" w:cs="Times New Roman" w:eastAsia="Times New Roman" w:hAnsi="Times New Roman"/>
          <w:sz w:val="22"/>
          <w:szCs w:val="22"/>
          <w:color w:val="auto"/>
        </w:rPr>
      </w:pPr>
    </w:p>
    <w:p>
      <w:pPr>
        <w:ind w:left="2180" w:hanging="320"/>
        <w:spacing w:after="0"/>
        <w:tabs>
          <w:tab w:leader="none" w:pos="21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06" w:lineRule="exact"/>
        <w:rPr>
          <w:rFonts w:ascii="Times New Roman" w:cs="Times New Roman" w:eastAsia="Times New Roman" w:hAnsi="Times New Roman"/>
          <w:sz w:val="22"/>
          <w:szCs w:val="22"/>
          <w:color w:val="auto"/>
        </w:rPr>
      </w:pPr>
    </w:p>
    <w:p>
      <w:pPr>
        <w:ind w:left="2240" w:hanging="380"/>
        <w:spacing w:after="0"/>
        <w:tabs>
          <w:tab w:leader="none" w:pos="22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889635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4" w:right="339" w:bottom="1440" w:gutter="0" w:footer="0" w:header="0"/>
        </w:sectPr>
      </w:pPr>
    </w:p>
    <w:bookmarkStart w:id="84" w:name="page85"/>
    <w:bookmarkEnd w:id="84"/>
    <w:p>
      <w:pPr>
        <w:ind w:left="1460"/>
        <w:spacing w:after="0"/>
        <w:rPr>
          <w:sz w:val="20"/>
          <w:szCs w:val="20"/>
          <w:color w:val="auto"/>
        </w:rPr>
      </w:pPr>
      <w:r>
        <w:rPr>
          <w:rFonts w:ascii="Times New Roman" w:cs="Times New Roman" w:eastAsia="Times New Roman" w:hAnsi="Times New Roman"/>
          <w:sz w:val="21"/>
          <w:szCs w:val="21"/>
          <w:color w:val="auto"/>
        </w:rPr>
        <w:t>“Default Right” has the meaning assigned to that term in, and shall be interpreted in accordance with, 12 C.F.R.</w:t>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182" w:lineRule="exact"/>
        <w:rPr>
          <w:sz w:val="20"/>
          <w:szCs w:val="20"/>
          <w:color w:val="auto"/>
        </w:rPr>
      </w:pPr>
    </w:p>
    <w:p>
      <w:pPr>
        <w:ind w:left="1460" w:right="280"/>
        <w:spacing w:after="0" w:line="244" w:lineRule="auto"/>
        <w:rPr>
          <w:sz w:val="20"/>
          <w:szCs w:val="20"/>
          <w:color w:val="auto"/>
        </w:rPr>
      </w:pPr>
      <w:r>
        <w:rPr>
          <w:rFonts w:ascii="Times New Roman" w:cs="Times New Roman" w:eastAsia="Times New Roman" w:hAnsi="Times New Roman"/>
          <w:sz w:val="22"/>
          <w:szCs w:val="2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9" w:lineRule="exact"/>
        <w:rPr>
          <w:sz w:val="20"/>
          <w:szCs w:val="20"/>
          <w:color w:val="auto"/>
        </w:rPr>
      </w:pPr>
    </w:p>
    <w:p>
      <w:pPr>
        <w:ind w:left="-40" w:right="40" w:firstLine="757"/>
        <w:spacing w:after="0" w:line="245" w:lineRule="auto"/>
        <w:tabs>
          <w:tab w:leader="none" w:pos="1141"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Counterparts. </w:t>
      </w:r>
      <w:r>
        <w:rPr>
          <w:rFonts w:ascii="Times New Roman" w:cs="Times New Roman" w:eastAsia="Times New Roman" w:hAnsi="Times New Roman"/>
          <w:sz w:val="21"/>
          <w:szCs w:val="21"/>
          <w:color w:val="auto"/>
        </w:rPr>
        <w:t>This Agreement may be signed in counterparts (which may include counterparts delivered by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standard form of telecommunication), each of which shall be an original and all of which together shall constitute one and the same instrument. The words “execution,” “signed,” “signature,” and words of like import in this Agreement or in any other certificate, agreement or document related to this Agreement,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7" w:lineRule="exact"/>
        <w:rPr>
          <w:rFonts w:ascii="Times New Roman" w:cs="Times New Roman" w:eastAsia="Times New Roman" w:hAnsi="Times New Roman"/>
          <w:sz w:val="21"/>
          <w:szCs w:val="21"/>
          <w:color w:val="auto"/>
        </w:rPr>
      </w:pPr>
    </w:p>
    <w:p>
      <w:pPr>
        <w:ind w:left="-40" w:right="160" w:firstLine="757"/>
        <w:spacing w:after="0" w:line="246" w:lineRule="auto"/>
        <w:tabs>
          <w:tab w:leader="none" w:pos="11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Amendments or Waivers. </w:t>
      </w:r>
      <w:r>
        <w:rPr>
          <w:rFonts w:ascii="Times New Roman" w:cs="Times New Roman" w:eastAsia="Times New Roman" w:hAnsi="Times New Roman"/>
          <w:sz w:val="22"/>
          <w:szCs w:val="22"/>
          <w:color w:val="auto"/>
        </w:rPr>
        <w:t>No amendment or waiver of any provision of this Agreement, nor any consent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approval to any departure therefrom, shall in any event be effective unless the same shall be in writing and signed by the parties hereto.</w:t>
      </w:r>
    </w:p>
    <w:p>
      <w:pPr>
        <w:spacing w:after="0" w:line="167" w:lineRule="exact"/>
        <w:rPr>
          <w:rFonts w:ascii="Times New Roman" w:cs="Times New Roman" w:eastAsia="Times New Roman" w:hAnsi="Times New Roman"/>
          <w:sz w:val="22"/>
          <w:szCs w:val="22"/>
          <w:color w:val="auto"/>
        </w:rPr>
      </w:pPr>
    </w:p>
    <w:p>
      <w:pPr>
        <w:ind w:left="-40" w:firstLine="757"/>
        <w:spacing w:after="0" w:line="262" w:lineRule="auto"/>
        <w:tabs>
          <w:tab w:leader="none" w:pos="11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Headings. </w:t>
      </w:r>
      <w:r>
        <w:rPr>
          <w:rFonts w:ascii="Times New Roman" w:cs="Times New Roman" w:eastAsia="Times New Roman" w:hAnsi="Times New Roman"/>
          <w:sz w:val="22"/>
          <w:szCs w:val="22"/>
          <w:color w:val="auto"/>
        </w:rPr>
        <w:t>The headings herein are included for convenience of reference only and are not intended to be part of,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affect the meaning or interpretation of,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889635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08" w:right="359" w:bottom="1440" w:gutter="0" w:footer="0" w:header="0"/>
        </w:sectPr>
      </w:pPr>
    </w:p>
    <w:bookmarkStart w:id="85" w:name="page86"/>
    <w:bookmarkEnd w:id="85"/>
    <w:p>
      <w:pPr>
        <w:ind w:firstLine="749"/>
        <w:spacing w:after="0" w:line="258" w:lineRule="auto"/>
        <w:rPr>
          <w:sz w:val="20"/>
          <w:szCs w:val="20"/>
          <w:color w:val="auto"/>
        </w:rPr>
      </w:pPr>
      <w:r>
        <w:rPr>
          <w:rFonts w:ascii="Times New Roman" w:cs="Times New Roman" w:eastAsia="Times New Roman" w:hAnsi="Times New Roman"/>
          <w:sz w:val="22"/>
          <w:szCs w:val="22"/>
          <w:color w:val="auto"/>
        </w:rPr>
        <w:t>If the foregoing is in accordance with your understanding, please indicate your acceptance of this Agreement by signing in the space provided below.</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4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MBX BIOSCIENCES, INC.</w:t>
      </w:r>
    </w:p>
    <w:p>
      <w:pPr>
        <w:spacing w:after="0" w:line="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-13970</wp:posOffset>
            </wp:positionV>
            <wp:extent cx="2819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2"/>
          <w:szCs w:val="22"/>
          <w:color w:val="auto"/>
        </w:rPr>
        <w:t>Name:</w:t>
      </w:r>
    </w:p>
    <w:p>
      <w:pPr>
        <w:ind w:left="57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themselves and on behalf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several Underwriters listed</w:t>
      </w:r>
    </w:p>
    <w:p>
      <w:pPr>
        <w:spacing w:after="0"/>
        <w:rPr>
          <w:sz w:val="20"/>
          <w:szCs w:val="20"/>
          <w:color w:val="auto"/>
        </w:rPr>
      </w:pPr>
      <w:r>
        <w:rPr>
          <w:rFonts w:ascii="Times New Roman" w:cs="Times New Roman" w:eastAsia="Times New Roman" w:hAnsi="Times New Roman"/>
          <w:sz w:val="22"/>
          <w:szCs w:val="22"/>
          <w:color w:val="auto"/>
        </w:rPr>
        <w:t>in Schedule 1 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5486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5486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86" w:name="page87"/>
    <w:bookmarkEnd w:id="86"/>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2"/>
                <w:szCs w:val="22"/>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Underwriter</w:t>
            </w: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Number of Shares</w:t>
            </w:r>
          </w:p>
        </w:tc>
      </w:tr>
      <w:tr>
        <w:trPr>
          <w:trHeight w:val="20"/>
        </w:trPr>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52"/>
        </w:trPr>
        <w:tc>
          <w:tcPr>
            <w:tcW w:w="10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J.P. Morgan Securities LLC</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w:t>
            </w:r>
          </w:p>
        </w:tc>
      </w:tr>
      <w:tr>
        <w:trPr>
          <w:trHeight w:val="243"/>
        </w:trPr>
        <w:tc>
          <w:tcPr>
            <w:tcW w:w="100" w:type="dxa"/>
            <w:vAlign w:val="bottom"/>
          </w:tcPr>
          <w:p>
            <w:pPr>
              <w:spacing w:after="0"/>
              <w:rPr>
                <w:sz w:val="21"/>
                <w:szCs w:val="21"/>
                <w:color w:val="auto"/>
              </w:rPr>
            </w:pPr>
          </w:p>
        </w:tc>
        <w:tc>
          <w:tcPr>
            <w:tcW w:w="3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Jefferies LLC</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 ]</w:t>
            </w:r>
          </w:p>
        </w:tc>
      </w:tr>
      <w:tr>
        <w:trPr>
          <w:trHeight w:val="243"/>
        </w:trPr>
        <w:tc>
          <w:tcPr>
            <w:tcW w:w="100" w:type="dxa"/>
            <w:vAlign w:val="bottom"/>
          </w:tcPr>
          <w:p>
            <w:pPr>
              <w:spacing w:after="0"/>
              <w:rPr>
                <w:sz w:val="21"/>
                <w:szCs w:val="21"/>
                <w:color w:val="auto"/>
              </w:rPr>
            </w:pPr>
          </w:p>
        </w:tc>
        <w:tc>
          <w:tcPr>
            <w:tcW w:w="3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TD Securities (USA) LLC</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 ]</w:t>
            </w:r>
          </w:p>
        </w:tc>
      </w:tr>
      <w:tr>
        <w:trPr>
          <w:trHeight w:val="243"/>
        </w:trPr>
        <w:tc>
          <w:tcPr>
            <w:tcW w:w="100" w:type="dxa"/>
            <w:vAlign w:val="bottom"/>
          </w:tcPr>
          <w:p>
            <w:pPr>
              <w:spacing w:after="0"/>
              <w:rPr>
                <w:sz w:val="21"/>
                <w:szCs w:val="21"/>
                <w:color w:val="auto"/>
              </w:rPr>
            </w:pPr>
          </w:p>
        </w:tc>
        <w:tc>
          <w:tcPr>
            <w:tcW w:w="3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Guggenheim Securities, LLC</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 ]</w:t>
            </w:r>
          </w:p>
        </w:tc>
      </w:tr>
      <w:tr>
        <w:trPr>
          <w:trHeight w:val="243"/>
        </w:trPr>
        <w:tc>
          <w:tcPr>
            <w:tcW w:w="100" w:type="dxa"/>
            <w:vAlign w:val="bottom"/>
          </w:tcPr>
          <w:p>
            <w:pPr>
              <w:spacing w:after="0"/>
              <w:rPr>
                <w:sz w:val="21"/>
                <w:szCs w:val="21"/>
                <w:color w:val="auto"/>
              </w:rPr>
            </w:pPr>
          </w:p>
        </w:tc>
        <w:tc>
          <w:tcPr>
            <w:tcW w:w="3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Citizens JMP Securities, LLC</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 ]</w:t>
            </w:r>
          </w:p>
        </w:tc>
      </w:tr>
      <w:tr>
        <w:trPr>
          <w:trHeight w:val="270"/>
        </w:trPr>
        <w:tc>
          <w:tcPr>
            <w:tcW w:w="100" w:type="dxa"/>
            <w:vAlign w:val="bottom"/>
          </w:tcPr>
          <w:p>
            <w:pPr>
              <w:spacing w:after="0"/>
              <w:rPr>
                <w:sz w:val="23"/>
                <w:szCs w:val="23"/>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Oppenheimer &amp; Co. Inc.</w:t>
            </w:r>
          </w:p>
        </w:tc>
        <w:tc>
          <w:tcPr>
            <w:tcW w:w="16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 ]</w:t>
            </w:r>
          </w:p>
        </w:tc>
      </w:tr>
      <w:tr>
        <w:trPr>
          <w:trHeight w:val="276"/>
        </w:trPr>
        <w:tc>
          <w:tcPr>
            <w:tcW w:w="100" w:type="dxa"/>
            <w:vAlign w:val="bottom"/>
          </w:tcPr>
          <w:p>
            <w:pPr>
              <w:spacing w:after="0"/>
              <w:rPr>
                <w:sz w:val="23"/>
                <w:szCs w:val="23"/>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w:t>
            </w:r>
          </w:p>
        </w:tc>
      </w:tr>
      <w:tr>
        <w:trPr>
          <w:trHeight w:val="432"/>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60" w:type="dxa"/>
            <w:vAlign w:val="bottom"/>
            <w:gridSpan w:val="4"/>
          </w:tcPr>
          <w:p>
            <w:pPr>
              <w:ind w:left="1280"/>
              <w:spacing w:after="0"/>
              <w:rPr>
                <w:sz w:val="20"/>
                <w:szCs w:val="20"/>
                <w:color w:val="auto"/>
              </w:rPr>
            </w:pPr>
            <w:r>
              <w:rPr>
                <w:rFonts w:ascii="Times New Roman" w:cs="Times New Roman" w:eastAsia="Times New Roman" w:hAnsi="Times New Roman"/>
                <w:sz w:val="22"/>
                <w:szCs w:val="22"/>
                <w:color w:val="auto"/>
              </w:rPr>
              <w:t>Sch. 1-1</w:t>
            </w:r>
          </w:p>
        </w:tc>
      </w:tr>
      <w:tr>
        <w:trPr>
          <w:trHeight w:val="1399"/>
        </w:trPr>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Annex 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Pricing Disclosure Package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[Electronic road show dated September 2025]</w:t>
      </w:r>
    </w:p>
    <w:p>
      <w:pPr>
        <w:spacing w:after="0" w:line="202" w:lineRule="exact"/>
        <w:rPr>
          <w:sz w:val="20"/>
          <w:szCs w:val="20"/>
          <w:color w:val="auto"/>
        </w:rPr>
      </w:pPr>
    </w:p>
    <w:p>
      <w:pPr>
        <w:ind w:left="300" w:hanging="292"/>
        <w:spacing w:after="0"/>
        <w:tabs>
          <w:tab w:leader="none" w:pos="30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Pricing Information Provided Orally by Underwriters</w:t>
      </w:r>
    </w:p>
    <w:p>
      <w:pPr>
        <w:spacing w:after="0" w:line="210" w:lineRule="exact"/>
        <w:rPr>
          <w:rFonts w:ascii="Times New Roman" w:cs="Times New Roman" w:eastAsia="Times New Roman" w:hAnsi="Times New Roman"/>
          <w:sz w:val="22"/>
          <w:szCs w:val="22"/>
          <w:b w:val="1"/>
          <w:bCs w:val="1"/>
          <w:color w:val="auto"/>
        </w:rPr>
      </w:pPr>
    </w:p>
    <w:p>
      <w:pPr>
        <w:ind w:left="880" w:hanging="440"/>
        <w:spacing w:after="0"/>
        <w:tabs>
          <w:tab w:leader="none" w:pos="88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offering price per share: $[ ]</w:t>
      </w:r>
    </w:p>
    <w:p>
      <w:pPr>
        <w:spacing w:after="0" w:line="233"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Underwritten Shares to be sold by the Company: [ ]</w:t>
      </w:r>
    </w:p>
    <w:p>
      <w:pPr>
        <w:spacing w:after="0" w:line="233" w:lineRule="exact"/>
        <w:rPr>
          <w:rFonts w:ascii="Times New Roman" w:cs="Times New Roman" w:eastAsia="Times New Roman" w:hAnsi="Times New Roman"/>
          <w:sz w:val="22"/>
          <w:szCs w:val="22"/>
          <w:color w:val="auto"/>
        </w:rPr>
      </w:pPr>
    </w:p>
    <w:p>
      <w:pPr>
        <w:ind w:left="5140" w:right="5000" w:hanging="4700"/>
        <w:spacing w:after="0" w:line="489" w:lineRule="auto"/>
        <w:tabs>
          <w:tab w:leader="none" w:pos="87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Option Shares to be sold by the Company: [ ] 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Annex B</w:t>
      </w:r>
    </w:p>
    <w:p>
      <w:pPr>
        <w:spacing w:after="0" w:line="20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MBX Biosciences, Inc.</w:t>
      </w: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Pricing Term Sheet</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[None.]</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9" w:name="page90"/>
    <w:bookmarkEnd w:id="89"/>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LOCK-UP AGREEMENT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September 19,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Representatives of the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several Underwriters listed</w:t>
      </w:r>
    </w:p>
    <w:p>
      <w:pPr>
        <w:ind w:left="440"/>
        <w:spacing w:after="0"/>
        <w:rPr>
          <w:sz w:val="20"/>
          <w:szCs w:val="20"/>
          <w:color w:val="auto"/>
        </w:rPr>
      </w:pPr>
      <w:r>
        <w:rPr>
          <w:rFonts w:ascii="Times New Roman" w:cs="Times New Roman" w:eastAsia="Times New Roman" w:hAnsi="Times New Roman"/>
          <w:sz w:val="22"/>
          <w:szCs w:val="22"/>
          <w:color w:val="auto"/>
        </w:rPr>
        <w:t>in Schedule 1 hereto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J.P. Morgan Securities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 Madison Avenue</w:t>
      </w:r>
    </w:p>
    <w:p>
      <w:pPr>
        <w:spacing w:after="0"/>
        <w:rPr>
          <w:sz w:val="20"/>
          <w:szCs w:val="20"/>
          <w:color w:val="auto"/>
        </w:rPr>
      </w:pPr>
      <w:r>
        <w:rPr>
          <w:rFonts w:ascii="Times New Roman" w:cs="Times New Roman" w:eastAsia="Times New Roman" w:hAnsi="Times New Roman"/>
          <w:sz w:val="22"/>
          <w:szCs w:val="22"/>
          <w:color w:val="auto"/>
        </w:rPr>
        <w:t>New York, New York 10179</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200" w:lineRule="exact"/>
        <w:rPr>
          <w:sz w:val="20"/>
          <w:szCs w:val="20"/>
          <w:color w:val="auto"/>
        </w:rPr>
      </w:pP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 MBX Biosciences, Inc. --- Public Offering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color w:val="auto"/>
        </w:rPr>
        <w:t>The undersigned understands that you, as representatives (the “Representatives”) of the several Underwriters (as defined below), propose to enter into an underwriting agreement (the “Underwriting Agreement”) with MBX Biosciences, Inc., a Delaware corporation (the “Company”), providing for the public offering (the “Public Offering”) by the several Underwriters named in Schedule 1 to the Underwriting Agreement (the “Underwriters”), of common stock of the Company (the “Securities”). Capitalized terms used herein and not otherwise defined shall have the meanings set forth in the Underwriting Agreement.</w:t>
      </w:r>
    </w:p>
    <w:p>
      <w:pPr>
        <w:spacing w:after="0" w:line="168"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Representatives on behalf of the Underwriters, the undersigned will not, and will not cause any direct or indirect affiliate to, during the period beginning on the date of this letter agreement (this “Letter Agreement”) and ending at the close of business 75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$0.0001 per share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1095375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ind w:right="60"/>
        <w:spacing w:after="0" w:line="233" w:lineRule="auto"/>
        <w:rPr>
          <w:sz w:val="20"/>
          <w:szCs w:val="20"/>
          <w:color w:val="auto"/>
        </w:rPr>
      </w:pPr>
      <w:r>
        <w:rPr>
          <w:rFonts w:ascii="Times New Roman" w:cs="Times New Roman" w:eastAsia="Times New Roman" w:hAnsi="Times New Roman"/>
          <w:sz w:val="22"/>
          <w:szCs w:val="22"/>
          <w:color w:val="auto"/>
        </w:rPr>
        <w:t>value,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the foregoing, the undersigned may: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transfer or dispose of the undersigned’s Lock-Up Securities:</w:t>
      </w:r>
    </w:p>
    <w:p>
      <w:pPr>
        <w:spacing w:after="0" w:line="206" w:lineRule="exact"/>
        <w:rPr>
          <w:sz w:val="20"/>
          <w:szCs w:val="20"/>
          <w:color w:val="auto"/>
        </w:rPr>
      </w:pPr>
    </w:p>
    <w:p>
      <w:pPr>
        <w:ind w:left="1020" w:hanging="263"/>
        <w:spacing w:after="0"/>
        <w:tabs>
          <w:tab w:leader="none" w:pos="10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bona fide gift or gifts, as a charitable contribution, or for bona fide estate planning purposes,</w:t>
      </w:r>
    </w:p>
    <w:p>
      <w:pPr>
        <w:spacing w:after="0" w:line="206" w:lineRule="exact"/>
        <w:rPr>
          <w:rFonts w:ascii="Times New Roman" w:cs="Times New Roman" w:eastAsia="Times New Roman" w:hAnsi="Times New Roman"/>
          <w:sz w:val="22"/>
          <w:szCs w:val="22"/>
          <w:color w:val="auto"/>
        </w:rPr>
      </w:pPr>
    </w:p>
    <w:p>
      <w:pPr>
        <w:ind w:left="1080" w:hanging="323"/>
        <w:spacing w:after="0"/>
        <w:tabs>
          <w:tab w:leader="none" w:pos="108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will or intestacy or any other testamentary document,</w:t>
      </w:r>
    </w:p>
    <w:p>
      <w:pPr>
        <w:spacing w:after="0" w:line="206" w:lineRule="exact"/>
        <w:rPr>
          <w:rFonts w:ascii="Times New Roman" w:cs="Times New Roman" w:eastAsia="Times New Roman" w:hAnsi="Times New Roman"/>
          <w:sz w:val="22"/>
          <w:szCs w:val="22"/>
          <w:color w:val="auto"/>
        </w:rPr>
      </w:pPr>
    </w:p>
    <w:p>
      <w:pPr>
        <w:ind w:right="60" w:firstLine="757"/>
        <w:spacing w:after="0" w:line="239" w:lineRule="auto"/>
        <w:tabs>
          <w:tab w:leader="none" w:pos="112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trust for the direct or indirect benefit of the undersigned or the immediate family of the undersigned, or if the undersigned is a trust, to a trustor, trustee (or co-trustee)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80" w:lineRule="exact"/>
        <w:rPr>
          <w:rFonts w:ascii="Times New Roman" w:cs="Times New Roman" w:eastAsia="Times New Roman" w:hAnsi="Times New Roman"/>
          <w:sz w:val="22"/>
          <w:szCs w:val="22"/>
          <w:color w:val="auto"/>
        </w:rPr>
      </w:pPr>
    </w:p>
    <w:p>
      <w:pPr>
        <w:ind w:firstLine="757"/>
        <w:spacing w:after="0" w:line="239" w:lineRule="auto"/>
        <w:tabs>
          <w:tab w:leader="none" w:pos="111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corporation, partnership, limited liability company, investment fund, or other entity (A) of which the undersigned and/or the immediate family of the undersigned are the legal and beneficial owner of all of the outstanding equity securities or similar interests or (B) controlled by, or under common control with, the undersigned or the immediate family of the undersigned,</w:t>
      </w:r>
    </w:p>
    <w:p>
      <w:pPr>
        <w:spacing w:after="0" w:line="180"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 nominee or custodian of a person or entity to whom a disposition or transfer would be permissible under clauses</w:t>
      </w:r>
    </w:p>
    <w:p>
      <w:pPr>
        <w:spacing w:after="0" w:line="25"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(iv) above,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91" w:name="page92"/>
    <w:bookmarkEnd w:id="91"/>
    <w:p>
      <w:pPr>
        <w:ind w:right="20" w:firstLine="757"/>
        <w:spacing w:after="0" w:line="235" w:lineRule="auto"/>
        <w:tabs>
          <w:tab w:leader="none" w:pos="111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limited partners, members or shareholders of the undersigned,</w:t>
      </w:r>
    </w:p>
    <w:p>
      <w:pPr>
        <w:spacing w:after="0" w:line="18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operation of law, such as pursuant to a qualified domestic order, divorce settlement, divorce decree or separation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1"/>
          <w:szCs w:val="21"/>
          <w:color w:val="auto"/>
        </w:rPr>
      </w:pPr>
    </w:p>
    <w:p>
      <w:pPr>
        <w:ind w:right="240" w:firstLine="757"/>
        <w:spacing w:after="0" w:line="258" w:lineRule="auto"/>
        <w:tabs>
          <w:tab w:leader="none" w:pos="123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from an employee of the Company upon death, disability or termination of employment, in each case, of such employee,</w:t>
      </w:r>
    </w:p>
    <w:p>
      <w:pPr>
        <w:spacing w:after="0" w:line="158" w:lineRule="exact"/>
        <w:rPr>
          <w:rFonts w:ascii="Times New Roman" w:cs="Times New Roman" w:eastAsia="Times New Roman" w:hAnsi="Times New Roman"/>
          <w:sz w:val="22"/>
          <w:szCs w:val="22"/>
          <w:color w:val="auto"/>
        </w:rPr>
      </w:pPr>
    </w:p>
    <w:p>
      <w:pPr>
        <w:ind w:right="600" w:firstLine="757"/>
        <w:spacing w:after="0" w:line="282" w:lineRule="auto"/>
        <w:tabs>
          <w:tab w:leader="none" w:pos="116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part of a transaction related to the undersigned’s Lock-Up Securities acquired in the Public Offering (if the undersigned is not an officer or director of the Company) or in open market transactions following the Public Offering,</w:t>
      </w:r>
    </w:p>
    <w:p>
      <w:pPr>
        <w:spacing w:after="0" w:line="134" w:lineRule="exact"/>
        <w:rPr>
          <w:rFonts w:ascii="Times New Roman" w:cs="Times New Roman" w:eastAsia="Times New Roman" w:hAnsi="Times New Roman"/>
          <w:sz w:val="21"/>
          <w:szCs w:val="21"/>
          <w:color w:val="auto"/>
        </w:rPr>
      </w:pPr>
    </w:p>
    <w:p>
      <w:pPr>
        <w:ind w:right="140" w:firstLine="757"/>
        <w:spacing w:after="0" w:line="235" w:lineRule="auto"/>
        <w:tabs>
          <w:tab w:leader="none" w:pos="105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 a document incorporated by reference therein,</w:t>
      </w:r>
    </w:p>
    <w:p>
      <w:pPr>
        <w:spacing w:after="0" w:line="178" w:lineRule="exact"/>
        <w:rPr>
          <w:rFonts w:ascii="Times New Roman" w:cs="Times New Roman" w:eastAsia="Times New Roman" w:hAnsi="Times New Roman"/>
          <w:sz w:val="22"/>
          <w:szCs w:val="22"/>
          <w:color w:val="auto"/>
        </w:rPr>
      </w:pPr>
    </w:p>
    <w:p>
      <w:pPr>
        <w:ind w:firstLine="757"/>
        <w:spacing w:after="0" w:line="235" w:lineRule="auto"/>
        <w:tabs>
          <w:tab w:leader="none" w:pos="111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 immediate family member of the undersigned, or</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ind w:right="60" w:firstLine="757"/>
        <w:spacing w:after="0" w:line="239" w:lineRule="auto"/>
        <w:tabs>
          <w:tab w:leader="none" w:pos="123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in connection with the transfer of shares of Common Stock pursuant to option agreements relating to the early exercise by the undersigned of unvested options issued pursuant to the Company’s equity incentive plans, which plans are in each case described in the Registration Statement or a document incorporated by reference therein, under which the Company has the right to repurchase such shares and only to the extent the Company elects to exercise such right.</w:t>
      </w:r>
    </w:p>
    <w:p>
      <w:pPr>
        <w:spacing w:after="0" w:line="18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in the case of any transfer or distribution pursuant to clauses (a)(i), (ii), (iii), (iv), (v), (vi), (vii) and (xii), such transfer shall not involve a disposition for value and each donee, devisee, transferee or distributee shall execute and deliver to the Representatives a lock-up letter in the form of this Letter Agreement, (B) in the case of any transfer or distribution pursuant to clauses (a) (iii), (iv), (v), (vi) and (xii)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or a filing required pursuant to Section 13 of the Exchange Act and the rules and regulations promulgated thereunder made after the expiration of the Restricted Period referred to above) and (C) in the case of any transfer or distribution pursuant to clauses (a) (i), (ii), (vii), (viii), (ix), (x) and (xiii)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82" w:lineRule="exact"/>
        <w:rPr>
          <w:sz w:val="20"/>
          <w:szCs w:val="20"/>
          <w:color w:val="auto"/>
        </w:rPr>
      </w:pPr>
    </w:p>
    <w:p>
      <w:pPr>
        <w:ind w:right="80" w:firstLine="757"/>
        <w:spacing w:after="0" w:line="239" w:lineRule="auto"/>
        <w:tabs>
          <w:tab w:leader="none" w:pos="110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outstanding options, settle restricted stock units or other equity awards or exercise warrants pursuant to plans described in the Registration Statement, the Pricing Disclosure Package and the Prospectus or a document incorporated by reference therein; provided that any Lock-Up Securities received upon such exercise, vesting or settlement shall be subject to the terms of this Letter Agreement;</w:t>
      </w:r>
    </w:p>
    <w:p>
      <w:pPr>
        <w:spacing w:after="0" w:line="180" w:lineRule="exact"/>
        <w:rPr>
          <w:rFonts w:ascii="Times New Roman" w:cs="Times New Roman" w:eastAsia="Times New Roman" w:hAnsi="Times New Roman"/>
          <w:sz w:val="22"/>
          <w:szCs w:val="22"/>
          <w:color w:val="auto"/>
        </w:rPr>
      </w:pPr>
    </w:p>
    <w:p>
      <w:pPr>
        <w:ind w:right="340" w:firstLine="757"/>
        <w:spacing w:after="0" w:line="244" w:lineRule="auto"/>
        <w:tabs>
          <w:tab w:leader="none" w:pos="104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 or</w:t>
      </w:r>
    </w:p>
    <w:p>
      <w:pPr>
        <w:spacing w:after="0" w:line="173" w:lineRule="exact"/>
        <w:rPr>
          <w:rFonts w:ascii="Times New Roman" w:cs="Times New Roman" w:eastAsia="Times New Roman" w:hAnsi="Times New Roman"/>
          <w:sz w:val="22"/>
          <w:szCs w:val="22"/>
          <w:color w:val="auto"/>
        </w:rPr>
      </w:pPr>
    </w:p>
    <w:p>
      <w:pPr>
        <w:ind w:right="40" w:firstLine="757"/>
        <w:spacing w:after="0" w:line="235" w:lineRule="auto"/>
        <w:tabs>
          <w:tab w:leader="none" w:pos="105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establish or modify trading plans pursuant to Rule 10b5-1 under the Exchange Act (each, a “10b5-1 Plan”) for the transfer of shares of Lock-Up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such 10b5-1 Plans do not provide for the transfer of Lock-Up Securities during the Restricted Period and (2) no filing under the Exchange Act or other public announcement shall be voluntarily made during the Restricted Period by or on behalf of the undersigned or the Company regarding the establishment or modification of any such 10b5-1 Plan, provided that if a filing under the Exchange Act or other public announcement is required, such announcement or filing shall include a statement to the effect that no transfer of Lock-Up Securities may be made under such 10b5-1 Plan during the Restricted Period.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93" w:name="page94"/>
    <w:bookmarkEnd w:id="93"/>
    <w:p>
      <w:pPr>
        <w:spacing w:after="0" w:line="200" w:lineRule="exact"/>
        <w:rPr>
          <w:sz w:val="20"/>
          <w:szCs w:val="20"/>
          <w:color w:val="auto"/>
        </w:rPr>
      </w:pPr>
    </w:p>
    <w:p>
      <w:pPr>
        <w:spacing w:after="0" w:line="22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3" w:lineRule="exact"/>
        <w:rPr>
          <w:sz w:val="20"/>
          <w:szCs w:val="20"/>
          <w:color w:val="auto"/>
        </w:rPr>
      </w:pPr>
    </w:p>
    <w:p>
      <w:pPr>
        <w:ind w:right="520" w:firstLine="749"/>
        <w:spacing w:after="0" w:line="244" w:lineRule="auto"/>
        <w:rPr>
          <w:sz w:val="20"/>
          <w:szCs w:val="20"/>
          <w:color w:val="auto"/>
        </w:rPr>
      </w:pPr>
      <w:r>
        <w:rPr>
          <w:rFonts w:ascii="Times New Roman" w:cs="Times New Roman" w:eastAsia="Times New Roman" w:hAnsi="Times New Roman"/>
          <w:sz w:val="22"/>
          <w:szCs w:val="22"/>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3"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1"/>
          <w:szCs w:val="21"/>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the undersigned in connection with the Public Offering, the Representatives and the other Underwriters are not making a recommendation to the undersigned to participate in the Public Offering, enter into this Letter Agreement, or sell any Shares at the price determined in the Public Offering, and nothing set forth in such disclosures is intended to suggest that the Representatives or any Underwriter is making such a recommendation.</w:t>
      </w:r>
    </w:p>
    <w:p>
      <w:pPr>
        <w:spacing w:after="0" w:line="199"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The undersigned understands that, if the Underwriting Agreement does not become effective by October 31, 2025, or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77"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This Letter Agreement and any claim, controversy or dispute arising under or related to this Letter Agreement shall be governed by and construed in accordance with the laws of the State of New York.</w:t>
      </w:r>
    </w:p>
    <w:p>
      <w:pPr>
        <w:spacing w:after="0" w:line="15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This Letter Agreement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Letter Agreement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8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OF STOCKHOLDER]</w:t>
      </w:r>
    </w:p>
    <w:p>
      <w:pPr>
        <w:spacing w:after="0" w:line="2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-13970</wp:posOffset>
            </wp:positionV>
            <wp:extent cx="2819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22"/>
          <w:szCs w:val="22"/>
          <w:color w:val="auto"/>
        </w:rPr>
        <w:t>Name:</w:t>
      </w:r>
    </w:p>
    <w:p>
      <w:pPr>
        <w:ind w:left="46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1705610" cy="3771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11" w:lineRule="exact"/>
        <w:rPr>
          <w:sz w:val="20"/>
          <w:szCs w:val="20"/>
          <w:color w:val="auto"/>
        </w:rPr>
      </w:pPr>
    </w:p>
    <w:p>
      <w:pPr>
        <w:ind w:left="7960"/>
        <w:spacing w:after="0"/>
        <w:rPr>
          <w:sz w:val="20"/>
          <w:szCs w:val="20"/>
          <w:color w:val="auto"/>
        </w:rPr>
      </w:pPr>
      <w:r>
        <w:rPr>
          <w:rFonts w:ascii="Arial" w:cs="Arial" w:eastAsia="Arial" w:hAnsi="Arial"/>
          <w:sz w:val="14"/>
          <w:szCs w:val="14"/>
          <w:color w:val="848A8E"/>
        </w:rPr>
        <w:t>Goodwin Procter LLP</w:t>
      </w:r>
    </w:p>
    <w:p>
      <w:pPr>
        <w:spacing w:after="0" w:line="6" w:lineRule="exact"/>
        <w:rPr>
          <w:sz w:val="20"/>
          <w:szCs w:val="20"/>
          <w:color w:val="auto"/>
        </w:rPr>
      </w:pPr>
    </w:p>
    <w:p>
      <w:pPr>
        <w:ind w:left="7960"/>
        <w:spacing w:after="0"/>
        <w:rPr>
          <w:sz w:val="20"/>
          <w:szCs w:val="20"/>
          <w:color w:val="auto"/>
        </w:rPr>
      </w:pPr>
      <w:r>
        <w:rPr>
          <w:rFonts w:ascii="Arial" w:cs="Arial" w:eastAsia="Arial" w:hAnsi="Arial"/>
          <w:sz w:val="14"/>
          <w:szCs w:val="14"/>
          <w:color w:val="848A8E"/>
        </w:rPr>
        <w:t>The New York Times Building</w:t>
      </w:r>
    </w:p>
    <w:p>
      <w:pPr>
        <w:spacing w:after="0" w:line="1" w:lineRule="exact"/>
        <w:rPr>
          <w:sz w:val="20"/>
          <w:szCs w:val="20"/>
          <w:color w:val="auto"/>
        </w:rPr>
      </w:pPr>
    </w:p>
    <w:p>
      <w:pPr>
        <w:ind w:left="7960"/>
        <w:spacing w:after="0"/>
        <w:rPr>
          <w:sz w:val="20"/>
          <w:szCs w:val="20"/>
          <w:color w:val="auto"/>
        </w:rPr>
      </w:pPr>
      <w:r>
        <w:rPr>
          <w:rFonts w:ascii="Arial" w:cs="Arial" w:eastAsia="Arial" w:hAnsi="Arial"/>
          <w:sz w:val="14"/>
          <w:szCs w:val="14"/>
          <w:color w:val="848A8E"/>
        </w:rPr>
        <w:t>620 Eighth Avenue</w:t>
      </w:r>
    </w:p>
    <w:p>
      <w:pPr>
        <w:spacing w:after="0" w:line="1" w:lineRule="exact"/>
        <w:rPr>
          <w:sz w:val="20"/>
          <w:szCs w:val="20"/>
          <w:color w:val="auto"/>
        </w:rPr>
      </w:pPr>
    </w:p>
    <w:p>
      <w:pPr>
        <w:ind w:left="7960"/>
        <w:spacing w:after="0"/>
        <w:rPr>
          <w:sz w:val="20"/>
          <w:szCs w:val="20"/>
          <w:color w:val="auto"/>
        </w:rPr>
      </w:pPr>
      <w:r>
        <w:rPr>
          <w:rFonts w:ascii="Arial" w:cs="Arial" w:eastAsia="Arial" w:hAnsi="Arial"/>
          <w:sz w:val="14"/>
          <w:szCs w:val="14"/>
          <w:color w:val="848A8E"/>
        </w:rPr>
        <w:t>New York, NY 10018</w:t>
      </w:r>
    </w:p>
    <w:p>
      <w:pPr>
        <w:spacing w:after="0" w:line="149" w:lineRule="exact"/>
        <w:rPr>
          <w:sz w:val="20"/>
          <w:szCs w:val="20"/>
          <w:color w:val="auto"/>
        </w:rPr>
      </w:pPr>
    </w:p>
    <w:p>
      <w:pPr>
        <w:ind w:left="7960"/>
        <w:spacing w:after="0"/>
        <w:rPr>
          <w:sz w:val="20"/>
          <w:szCs w:val="20"/>
          <w:color w:val="auto"/>
        </w:rPr>
      </w:pPr>
      <w:r>
        <w:rPr>
          <w:rFonts w:ascii="Arial" w:cs="Arial" w:eastAsia="Arial" w:hAnsi="Arial"/>
          <w:sz w:val="14"/>
          <w:szCs w:val="14"/>
          <w:color w:val="848A8E"/>
        </w:rPr>
        <w:t>goodwinlaw.com</w:t>
      </w:r>
    </w:p>
    <w:p>
      <w:pPr>
        <w:spacing w:after="0" w:line="15" w:lineRule="exact"/>
        <w:rPr>
          <w:sz w:val="20"/>
          <w:szCs w:val="20"/>
          <w:color w:val="auto"/>
        </w:rPr>
      </w:pPr>
    </w:p>
    <w:p>
      <w:pPr>
        <w:ind w:left="7960"/>
        <w:spacing w:after="0"/>
        <w:rPr>
          <w:sz w:val="20"/>
          <w:szCs w:val="20"/>
          <w:color w:val="auto"/>
        </w:rPr>
      </w:pPr>
      <w:r>
        <w:rPr>
          <w:rFonts w:ascii="Arial" w:cs="Arial" w:eastAsia="Arial" w:hAnsi="Arial"/>
          <w:sz w:val="14"/>
          <w:szCs w:val="14"/>
          <w:color w:val="848A8E"/>
        </w:rPr>
        <w:t>+1 212 813 8800</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September 22,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MBX Biosciences,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11711 N. Meridian Street, Suite 300</w:t>
      </w:r>
    </w:p>
    <w:p>
      <w:pPr>
        <w:spacing w:after="0"/>
        <w:rPr>
          <w:sz w:val="20"/>
          <w:szCs w:val="20"/>
          <w:color w:val="auto"/>
        </w:rPr>
      </w:pPr>
      <w:r>
        <w:rPr>
          <w:rFonts w:ascii="Times New Roman" w:cs="Times New Roman" w:eastAsia="Times New Roman" w:hAnsi="Times New Roman"/>
          <w:sz w:val="22"/>
          <w:szCs w:val="22"/>
          <w:color w:val="auto"/>
        </w:rPr>
        <w:t>Carmel, IN 46032</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Securities Registered under Registration Statement on Form S-1</w:t>
      </w:r>
    </w:p>
    <w:p>
      <w:pPr>
        <w:spacing w:after="0" w:line="2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We have acted as counsel to you in connection with your filing of a Registration Statement on Form S-1 (as amended or supplemented, the “Registration Statement”) pursuant to the Securities Act of 1933, as amended (the “Securities Act”), relating to the registration of the offering by MBX Biosciences, Inc., a Delaware corporation (the “Company”), of up to 11,500,000 shares (the “Shares”) of the Company’s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210"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opinion set forth below is limited to the Delaware General Corporation Law.</w:t>
      </w:r>
    </w:p>
    <w:p>
      <w:pPr>
        <w:spacing w:after="0" w:line="233" w:lineRule="exact"/>
        <w:rPr>
          <w:sz w:val="20"/>
          <w:szCs w:val="20"/>
          <w:color w:val="auto"/>
        </w:rPr>
      </w:pPr>
    </w:p>
    <w:p>
      <w:pPr>
        <w:ind w:right="500"/>
        <w:spacing w:after="0" w:line="285" w:lineRule="exact"/>
        <w:rPr>
          <w:sz w:val="20"/>
          <w:szCs w:val="20"/>
          <w:color w:val="auto"/>
        </w:rPr>
      </w:pPr>
      <w:r>
        <w:rPr>
          <w:rFonts w:ascii="Times New Roman" w:cs="Times New Roman" w:eastAsia="Times New Roman" w:hAnsi="Times New Roman"/>
          <w:sz w:val="22"/>
          <w:szCs w:val="22"/>
          <w:color w:val="auto"/>
        </w:rPr>
        <w:t>Based on the foregoing, we are of the opinion that the Shares have been duly authorized and, when delivered and paid for in accordance with the terms of the Underwriting Agreement, will be validly issued, fully paid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assessable.</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22"/>
          <w:szCs w:val="22"/>
          <w:i w:val="1"/>
          <w:iCs w:val="1"/>
          <w:color w:val="auto"/>
        </w:rPr>
        <w:t>Business Lawyer</w:t>
      </w:r>
      <w:r>
        <w:rPr>
          <w:rFonts w:ascii="Times New Roman" w:cs="Times New Roman" w:eastAsia="Times New Roman" w:hAnsi="Times New Roman"/>
          <w:sz w:val="22"/>
          <w:szCs w:val="22"/>
          <w:color w:val="auto"/>
        </w:rPr>
        <w:t xml:space="preserve"> 815 (Summer 2019).</w:t>
      </w:r>
    </w:p>
    <w:p>
      <w:pPr>
        <w:spacing w:after="0" w:line="1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1"/>
          <w:szCs w:val="21"/>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 Goodwin Procter LLP</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GOODWIN PROCTER </w:t>
      </w:r>
      <w:r>
        <w:rPr>
          <w:rFonts w:ascii="Times New Roman" w:cs="Times New Roman" w:eastAsia="Times New Roman" w:hAnsi="Times New Roman"/>
          <w:sz w:val="16"/>
          <w:szCs w:val="16"/>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333333"/>
        </w:rPr>
        <w:t>Consent of Independent Registered Public Accounting Firm</w:t>
      </w:r>
    </w:p>
    <w:p>
      <w:pPr>
        <w:spacing w:after="0" w:line="32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9"/>
          <w:szCs w:val="19"/>
          <w:color w:val="333333"/>
        </w:rPr>
        <w:t>We consent to the reference to our firm under the caption "Experts" in the Registration Statement (Form S-1) and related Prospectus of MBX Biosciences, Inc. for the registration of shares of its common stock and to the incorporation by reference therein of our report dated March 17, 2025, with respect to the financial statements of MBX Biosciences, Inc. included in its Annual Report (Form 10-K) for the year ended December 31, 2024, filed with the Securities and Exchange Commission.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33333"/>
        </w:rPr>
        <w:t>/s/ Ernst &amp; Young LLP</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33333"/>
        </w:rPr>
        <w:t>Indianapolis, Indiana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33333"/>
        </w:rPr>
        <w:t>September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962660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40" w:top="761" w:right="339" w:bottom="1440" w:gutter="0" w:footer="0" w:header="0"/>
        </w:sectPr>
      </w:pPr>
    </w:p>
    <w:bookmarkStart w:id="97" w:name="page98"/>
    <w:bookmarkEnd w:id="97"/>
    <w:p>
      <w:pPr>
        <w:ind w:left="1038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0" w:type="dxa"/>
            <w:vAlign w:val="bottom"/>
            <w:gridSpan w:val="10"/>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9"/>
              </w:rPr>
              <w:t>(Form Type)</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8"/>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MBX Biosciences, Inc.</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00" w:type="dxa"/>
            <w:vAlign w:val="bottom"/>
            <w:gridSpan w:val="5"/>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60" w:type="dxa"/>
            <w:vAlign w:val="bottom"/>
            <w:gridSpan w:val="11"/>
          </w:tcPr>
          <w:p>
            <w:pPr>
              <w:jc w:val="center"/>
              <w:ind w:left="1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gridSpan w:val="10"/>
          </w:tcPr>
          <w:p>
            <w:pPr>
              <w:jc w:val="center"/>
              <w:ind w:right="520"/>
              <w:spacing w:after="0"/>
              <w:rPr>
                <w:sz w:val="20"/>
                <w:szCs w:val="20"/>
                <w:color w:val="auto"/>
              </w:rPr>
            </w:pPr>
            <w:r>
              <w:rPr>
                <w:rFonts w:ascii="Times New Roman" w:cs="Times New Roman" w:eastAsia="Times New Roman" w:hAnsi="Times New Roman"/>
                <w:sz w:val="18"/>
                <w:szCs w:val="18"/>
                <w:color w:val="auto"/>
                <w:w w:val="99"/>
              </w:rPr>
              <w:t>Table 1: Newly Registered Securities</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3"/>
        </w:trPr>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right w:val="single" w:sz="8" w:color="auto"/>
            </w:tcBorders>
            <w:gridSpan w:val="3"/>
          </w:tcPr>
          <w:p>
            <w:pPr>
              <w:jc w:val="center"/>
              <w:ind w:right="200"/>
              <w:spacing w:after="0" w:line="154" w:lineRule="exact"/>
              <w:rPr>
                <w:sz w:val="20"/>
                <w:szCs w:val="20"/>
                <w:color w:val="auto"/>
              </w:rPr>
            </w:pPr>
            <w:r>
              <w:rPr>
                <w:rFonts w:ascii="Times New Roman" w:cs="Times New Roman" w:eastAsia="Times New Roman" w:hAnsi="Times New Roman"/>
                <w:sz w:val="17"/>
                <w:szCs w:val="17"/>
                <w:color w:val="auto"/>
              </w:rPr>
              <w:t>Proposed</w:t>
            </w:r>
          </w:p>
        </w:tc>
        <w:tc>
          <w:tcPr>
            <w:tcW w:w="2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Maximum</w:t>
            </w:r>
          </w:p>
        </w:tc>
        <w:tc>
          <w:tcPr>
            <w:tcW w:w="260" w:type="dxa"/>
            <w:vAlign w:val="bottom"/>
          </w:tcPr>
          <w:p>
            <w:pPr>
              <w:spacing w:after="0"/>
              <w:rPr>
                <w:sz w:val="18"/>
                <w:szCs w:val="18"/>
                <w:color w:val="auto"/>
              </w:rPr>
            </w:pPr>
          </w:p>
        </w:tc>
        <w:tc>
          <w:tcPr>
            <w:tcW w:w="13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Maximum</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Offering</w:t>
            </w:r>
          </w:p>
        </w:tc>
        <w:tc>
          <w:tcPr>
            <w:tcW w:w="260" w:type="dxa"/>
            <w:vAlign w:val="bottom"/>
          </w:tcPr>
          <w:p>
            <w:pPr>
              <w:spacing w:after="0"/>
              <w:rPr>
                <w:sz w:val="18"/>
                <w:szCs w:val="18"/>
                <w:color w:val="auto"/>
              </w:rPr>
            </w:pPr>
          </w:p>
        </w:tc>
        <w:tc>
          <w:tcPr>
            <w:tcW w:w="13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Aggregate</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1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Calculation</w:t>
            </w:r>
          </w:p>
        </w:tc>
        <w:tc>
          <w:tcPr>
            <w:tcW w:w="20" w:type="dxa"/>
            <w:vAlign w:val="bottom"/>
          </w:tcPr>
          <w:p>
            <w:pPr>
              <w:spacing w:after="0"/>
              <w:rPr>
                <w:sz w:val="18"/>
                <w:szCs w:val="18"/>
                <w:color w:val="auto"/>
              </w:rPr>
            </w:pPr>
          </w:p>
        </w:tc>
        <w:tc>
          <w:tcPr>
            <w:tcW w:w="12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Amount to be</w:t>
            </w:r>
          </w:p>
        </w:tc>
        <w:tc>
          <w:tcPr>
            <w:tcW w:w="160" w:type="dxa"/>
            <w:vAlign w:val="bottom"/>
          </w:tcPr>
          <w:p>
            <w:pPr>
              <w:spacing w:after="0"/>
              <w:rPr>
                <w:sz w:val="18"/>
                <w:szCs w:val="18"/>
                <w:color w:val="auto"/>
              </w:rPr>
            </w:pPr>
          </w:p>
        </w:tc>
        <w:tc>
          <w:tcPr>
            <w:tcW w:w="10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Price Per</w:t>
            </w:r>
          </w:p>
        </w:tc>
        <w:tc>
          <w:tcPr>
            <w:tcW w:w="260" w:type="dxa"/>
            <w:vAlign w:val="bottom"/>
          </w:tcPr>
          <w:p>
            <w:pPr>
              <w:spacing w:after="0"/>
              <w:rPr>
                <w:sz w:val="18"/>
                <w:szCs w:val="18"/>
                <w:color w:val="auto"/>
              </w:rPr>
            </w:pPr>
          </w:p>
        </w:tc>
        <w:tc>
          <w:tcPr>
            <w:tcW w:w="13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Offering</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r>
      <w:tr>
        <w:trPr>
          <w:trHeight w:val="261"/>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Type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2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Registered</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Price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r>
      <w:tr>
        <w:trPr>
          <w:trHeight w:val="178"/>
        </w:trPr>
        <w:tc>
          <w:tcPr>
            <w:tcW w:w="940" w:type="dxa"/>
            <w:vAlign w:val="bottom"/>
            <w:tcBorders>
              <w:left w:val="single" w:sz="8" w:color="auto"/>
              <w:right w:val="single" w:sz="8" w:color="auto"/>
            </w:tcBorders>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8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Fees to be</w:t>
            </w: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457(a)</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11,500,000</w:t>
            </w:r>
          </w:p>
        </w:tc>
        <w:tc>
          <w:tcPr>
            <w:tcW w:w="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$9.9725</w:t>
            </w:r>
          </w:p>
        </w:tc>
        <w:tc>
          <w:tcPr>
            <w:tcW w:w="2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$114,683,750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$17,558.09</w:t>
            </w:r>
          </w:p>
        </w:tc>
      </w:tr>
      <w:tr>
        <w:trPr>
          <w:trHeight w:val="144"/>
        </w:trPr>
        <w:tc>
          <w:tcPr>
            <w:tcW w:w="940" w:type="dxa"/>
            <w:vAlign w:val="bottom"/>
            <w:tcBorders>
              <w:left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rPr>
              <w:t>paid</w:t>
            </w:r>
          </w:p>
        </w:tc>
        <w:tc>
          <w:tcPr>
            <w:tcW w:w="3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rPr>
              <w:t>$0.0001 per</w:t>
            </w:r>
          </w:p>
        </w:tc>
        <w:tc>
          <w:tcPr>
            <w:tcW w:w="7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ind w:left="111"/>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$114,683,750</w:t>
            </w: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$17,558.09</w:t>
            </w: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ind w:left="111"/>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ind w:left="111"/>
              <w:spacing w:after="0"/>
              <w:rPr>
                <w:sz w:val="20"/>
                <w:szCs w:val="20"/>
                <w:color w:val="auto"/>
              </w:rPr>
            </w:pPr>
            <w:r>
              <w:rPr>
                <w:rFonts w:ascii="Times New Roman" w:cs="Times New Roman" w:eastAsia="Times New Roman" w:hAnsi="Times New Roman"/>
                <w:sz w:val="18"/>
                <w:szCs w:val="18"/>
                <w:color w:val="auto"/>
              </w:rPr>
              <w:t>Total Fee Offsets</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ind w:left="111"/>
              <w:spacing w:after="0"/>
              <w:rPr>
                <w:sz w:val="20"/>
                <w:szCs w:val="20"/>
                <w:color w:val="auto"/>
              </w:rPr>
            </w:pPr>
            <w:r>
              <w:rPr>
                <w:rFonts w:ascii="Times New Roman" w:cs="Times New Roman" w:eastAsia="Times New Roman" w:hAnsi="Times New Roman"/>
                <w:sz w:val="18"/>
                <w:szCs w:val="18"/>
                <w:color w:val="auto"/>
                <w:w w:val="98"/>
              </w:rPr>
              <w:t>Net Fee Due</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$17,558.09</w:t>
            </w:r>
          </w:p>
        </w:tc>
      </w:tr>
    </w:tbl>
    <w:p>
      <w:pPr>
        <w:spacing w:after="0" w:line="103" w:lineRule="exact"/>
        <w:rPr>
          <w:sz w:val="20"/>
          <w:szCs w:val="20"/>
          <w:color w:val="auto"/>
        </w:rPr>
      </w:pPr>
    </w:p>
    <w:p>
      <w:pPr>
        <w:ind w:left="760" w:right="100" w:hanging="752"/>
        <w:spacing w:after="0" w:line="266"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416 of the Securities Act of 1933, as amended (the “Securities Act”), the shares being registered include such indeterminate number of shares of the registrant’s common stock, par value $0.0001 per share (“common stock”), as may be issuable with respect to the shares being registered in this registration statement as a result of any stock splits, stock dividends or other similar event.</w:t>
      </w:r>
    </w:p>
    <w:p>
      <w:pPr>
        <w:spacing w:after="0" w:line="175" w:lineRule="exact"/>
        <w:rPr>
          <w:rFonts w:ascii="Times New Roman" w:cs="Times New Roman" w:eastAsia="Times New Roman" w:hAnsi="Times New Roman"/>
          <w:sz w:val="18"/>
          <w:szCs w:val="18"/>
          <w:color w:val="auto"/>
        </w:rPr>
      </w:pPr>
    </w:p>
    <w:p>
      <w:pPr>
        <w:ind w:left="7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under the Securities Act, based on the average of the high and low reported trading prices of the common stock as reported on Nasdaq on September 19, 2025, such date being within five business days of the date that this registration statement was filed with the Securities and Exchange Commission (the "Commission").</w:t>
      </w:r>
    </w:p>
    <w:p>
      <w:pPr>
        <w:spacing w:after="0" w:line="175" w:lineRule="exact"/>
        <w:rPr>
          <w:rFonts w:ascii="Times New Roman" w:cs="Times New Roman" w:eastAsia="Times New Roman" w:hAnsi="Times New Roman"/>
          <w:sz w:val="18"/>
          <w:szCs w:val="18"/>
          <w:color w:val="auto"/>
        </w:rPr>
      </w:pPr>
    </w:p>
    <w:p>
      <w:pPr>
        <w:ind w:left="760"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10,000,000 shares of common stock offered by the registrant and 1,500,000 shares of common stock that the underwriters have the option to purchase from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decimal"/>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decimal"/>
      <w:start w:val="2"/>
    </w:lvl>
  </w:abstractNum>
  <w:abstractNum w:abstractNumId="24">
    <w:nsid w:val="15B5AF5C"/>
    <w:multiLevelType w:val="hybridMultilevel"/>
    <w:lvl w:ilvl="0">
      <w:lvlJc w:val="left"/>
      <w:lvlText w:val="(%1)"/>
      <w:numFmt w:val="decimal"/>
      <w:start w:val="6"/>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1)"/>
      <w:numFmt w:val="lowerRoman"/>
      <w:start w:val="2"/>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lowerRoman"/>
      <w:start w:val="7"/>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1)"/>
      <w:numFmt w:val="lowerLetter"/>
      <w:start w:val="1"/>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lowerLetter"/>
      <w:start w:val="1"/>
    </w:lvl>
    <w:lvl w:ilvl="1">
      <w:lvlJc w:val="left"/>
      <w:lvlText w:val="(%2)"/>
      <w:numFmt w:val="lowerRoman"/>
      <w:start w:val="1"/>
    </w:lvl>
  </w:abstractNum>
  <w:abstractNum w:abstractNumId="37">
    <w:nsid w:val="1DBABF00"/>
    <w:multiLevelType w:val="hybridMultilevel"/>
    <w:lvl w:ilvl="0">
      <w:lvlJc w:val="left"/>
      <w:lvlText w:val="(%1)"/>
      <w:numFmt w:val="lowerLetter"/>
      <w:start w:val="1"/>
    </w:lvl>
  </w:abstractNum>
  <w:abstractNum w:abstractNumId="38">
    <w:nsid w:val="4AD084E9"/>
    <w:multiLevelType w:val="hybridMultilevel"/>
    <w:lvl w:ilvl="0">
      <w:lvlJc w:val="left"/>
      <w:lvlText w:val="(%1)"/>
      <w:numFmt w:val="lowerRoman"/>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lowerLetter"/>
      <w:start w:val="1"/>
    </w:lvl>
    <w:lvl w:ilvl="1">
      <w:lvlJc w:val="left"/>
      <w:lvlText w:val="%2."/>
      <w:numFmt w:val="decimal"/>
      <w:start w:val="1"/>
    </w:lvl>
  </w:abstractNum>
  <w:abstractNum w:abstractNumId="43">
    <w:nsid w:val="6590700B"/>
    <w:multiLevelType w:val="hybridMultilevel"/>
    <w:lvl w:ilvl="0">
      <w:lvlJc w:val="left"/>
      <w:lvlText w:val="(%1)"/>
      <w:numFmt w:val="lowerLetter"/>
      <w:start w:val="3"/>
    </w:lvl>
  </w:abstractNum>
  <w:abstractNum w:abstractNumId="44">
    <w:nsid w:val="15014ACB"/>
    <w:multiLevelType w:val="hybridMultilevel"/>
    <w:lvl w:ilvl="0">
      <w:lvlJc w:val="left"/>
      <w:lvlText w:val="(%1)"/>
      <w:numFmt w:val="lowerLetter"/>
      <w:start w:val="4"/>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Roman"/>
      <w:start w:val="1"/>
    </w:lvl>
  </w:abstractNum>
  <w:abstractNum w:abstractNumId="47">
    <w:nsid w:val="799D0247"/>
    <w:multiLevelType w:val="hybridMultilevel"/>
    <w:lvl w:ilvl="0">
      <w:lvlJc w:val="left"/>
      <w:lvlText w:val="%1"/>
      <w:numFmt w:val="decimal"/>
      <w:start w:val="107"/>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
      <w:numFmt w:val="bullet"/>
      <w:start w:val="1"/>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2"/>
    </w:lvl>
  </w:abstractNum>
  <w:abstractNum w:abstractNumId="52">
    <w:nsid w:val="661E3F1E"/>
    <w:multiLevelType w:val="hybridMultilevel"/>
    <w:lvl w:ilvl="0">
      <w:lvlJc w:val="left"/>
      <w:lvlText w:val="(%1)"/>
      <w:numFmt w:val="lowerLetter"/>
      <w:start w:val="10"/>
    </w:lvl>
  </w:abstractNum>
  <w:abstractNum w:abstractNumId="53">
    <w:nsid w:val="5DC79EA8"/>
    <w:multiLevelType w:val="hybridMultilevel"/>
    <w:lvl w:ilvl="0">
      <w:lvlJc w:val="left"/>
      <w:lvlText w:val="(%1)"/>
      <w:numFmt w:val="lowerLetter"/>
      <w:start w:val="12"/>
    </w:lvl>
  </w:abstractNum>
  <w:abstractNum w:abstractNumId="54">
    <w:nsid w:val="540A471C"/>
    <w:multiLevelType w:val="hybridMultilevel"/>
    <w:lvl w:ilvl="0">
      <w:lvlJc w:val="left"/>
      <w:lvlText w:val="(%1)"/>
      <w:numFmt w:val="lowerLetter"/>
      <w:start w:val="10"/>
    </w:lvl>
  </w:abstractNum>
  <w:abstractNum w:abstractNumId="55">
    <w:nsid w:val="7BD3EE7B"/>
    <w:multiLevelType w:val="hybridMultilevel"/>
    <w:lvl w:ilvl="0">
      <w:lvlJc w:val="left"/>
      <w:lvlText w:val="(%1)"/>
      <w:numFmt w:val="lowerLetter"/>
      <w:start w:val="14"/>
    </w:lvl>
  </w:abstractNum>
  <w:abstractNum w:abstractNumId="56">
    <w:nsid w:val="51D9C564"/>
    <w:multiLevelType w:val="hybridMultilevel"/>
    <w:lvl w:ilvl="0">
      <w:lvlJc w:val="left"/>
      <w:lvlText w:val="(%1)"/>
      <w:numFmt w:val="lowerLetter"/>
      <w:start w:val="16"/>
    </w:lvl>
  </w:abstractNum>
  <w:abstractNum w:abstractNumId="57">
    <w:nsid w:val="613EFDC5"/>
    <w:multiLevelType w:val="hybridMultilevel"/>
    <w:lvl w:ilvl="0">
      <w:lvlJc w:val="left"/>
      <w:lvlText w:val="(%1)"/>
      <w:numFmt w:val="lowerLetter"/>
      <w:start w:val="19"/>
    </w:lvl>
  </w:abstractNum>
  <w:abstractNum w:abstractNumId="58">
    <w:nsid w:val="BF72B14"/>
    <w:multiLevelType w:val="hybridMultilevel"/>
    <w:lvl w:ilvl="0">
      <w:lvlJc w:val="left"/>
      <w:lvlText w:val="(%1)"/>
      <w:numFmt w:val="lowerRoman"/>
      <w:start w:val="5"/>
    </w:lvl>
  </w:abstractNum>
  <w:abstractNum w:abstractNumId="59">
    <w:nsid w:val="11447B73"/>
    <w:multiLevelType w:val="hybridMultilevel"/>
    <w:lvl w:ilvl="0">
      <w:lvlJc w:val="left"/>
      <w:lvlText w:val="(%1)"/>
      <w:numFmt w:val="lowerLetter"/>
      <w:start w:val="24"/>
    </w:lvl>
  </w:abstractNum>
  <w:abstractNum w:abstractNumId="60">
    <w:nsid w:val="42963E5A"/>
    <w:multiLevelType w:val="hybridMultilevel"/>
    <w:lvl w:ilvl="0">
      <w:lvlJc w:val="left"/>
      <w:lvlText w:val="(%1)"/>
      <w:numFmt w:val="lowerRoman"/>
      <w:start w:val="4"/>
    </w:lvl>
  </w:abstractNum>
  <w:abstractNum w:abstractNumId="61">
    <w:nsid w:val="A0382C5"/>
    <w:multiLevelType w:val="hybridMultilevel"/>
    <w:lvl w:ilvl="0">
      <w:lvlJc w:val="left"/>
      <w:lvlText w:val="(%1)"/>
      <w:numFmt w:val="lowerRoman"/>
      <w:start w:val="2"/>
    </w:lvl>
  </w:abstractNum>
  <w:abstractNum w:abstractNumId="62">
    <w:nsid w:val="8F2B15E"/>
    <w:multiLevelType w:val="hybridMultilevel"/>
    <w:lvl w:ilvl="0">
      <w:lvlJc w:val="left"/>
      <w:lvlText w:val="%1."/>
      <w:numFmt w:val="decimal"/>
      <w:start w:val="4"/>
    </w:lvl>
    <w:lvl w:ilvl="1">
      <w:lvlJc w:val="left"/>
      <w:lvlText w:val="(%2)"/>
      <w:numFmt w:val="lowerLetter"/>
      <w:start w:val="1"/>
    </w:lvl>
  </w:abstractNum>
  <w:abstractNum w:abstractNumId="63">
    <w:nsid w:val="1A32234B"/>
    <w:multiLevelType w:val="hybridMultilevel"/>
    <w:lvl w:ilvl="0">
      <w:lvlJc w:val="left"/>
      <w:lvlText w:val="%1"/>
      <w:numFmt w:val="lowerRoman"/>
      <w:start w:val="1"/>
    </w:lvl>
    <w:lvl w:ilvl="1">
      <w:lvlJc w:val="left"/>
      <w:lvlText w:val="(%2)"/>
      <w:numFmt w:val="lowerLetter"/>
      <w:start w:val="4"/>
    </w:lvl>
  </w:abstractNum>
  <w:abstractNum w:abstractNumId="64">
    <w:nsid w:val="3B0FD379"/>
    <w:multiLevelType w:val="hybridMultilevel"/>
    <w:lvl w:ilvl="0">
      <w:lvlJc w:val="left"/>
      <w:lvlText w:val="(%1)"/>
      <w:numFmt w:val="lowerRoman"/>
      <w:start w:val="7"/>
    </w:lvl>
    <w:lvl w:ilvl="1">
      <w:lvlJc w:val="left"/>
      <w:lvlText w:val="(%2)"/>
      <w:numFmt w:val="lowerLetter"/>
      <w:start w:val="5"/>
    </w:lvl>
  </w:abstractNum>
  <w:abstractNum w:abstractNumId="65">
    <w:nsid w:val="68EB2F63"/>
    <w:multiLevelType w:val="hybridMultilevel"/>
    <w:lvl w:ilvl="0">
      <w:lvlJc w:val="left"/>
      <w:lvlText w:val="(%1)"/>
      <w:numFmt w:val="lowerLetter"/>
      <w:start w:val="6"/>
    </w:lvl>
  </w:abstractNum>
  <w:abstractNum w:abstractNumId="66">
    <w:nsid w:val="4962813B"/>
    <w:multiLevelType w:val="hybridMultilevel"/>
    <w:lvl w:ilvl="0">
      <w:lvlJc w:val="left"/>
      <w:lvlText w:val="(%1)"/>
      <w:numFmt w:val="lowerLetter"/>
      <w:start w:val="61"/>
    </w:lvl>
    <w:lvl w:ilvl="1">
      <w:lvlJc w:val="left"/>
      <w:lvlText w:val="(%2)"/>
      <w:numFmt w:val="lowerLetter"/>
      <w:start w:val="9"/>
    </w:lvl>
  </w:abstractNum>
  <w:abstractNum w:abstractNumId="67">
    <w:nsid w:val="60B6DF70"/>
    <w:multiLevelType w:val="hybridMultilevel"/>
    <w:lvl w:ilvl="0">
      <w:lvlJc w:val="left"/>
      <w:lvlText w:val="%1"/>
      <w:numFmt w:val="decimal"/>
      <w:start w:val="1"/>
    </w:lvl>
    <w:lvl w:ilvl="1">
      <w:lvlJc w:val="left"/>
      <w:lvlText w:val="(%2)"/>
      <w:numFmt w:val="lowerLetter"/>
      <w:start w:val="12"/>
    </w:lvl>
  </w:abstractNum>
  <w:abstractNum w:abstractNumId="68">
    <w:nsid w:val="6A5EE64"/>
    <w:multiLevelType w:val="hybridMultilevel"/>
    <w:lvl w:ilvl="0">
      <w:lvlJc w:val="left"/>
      <w:lvlText w:val="%1."/>
      <w:numFmt w:val="decimal"/>
      <w:start w:val="5"/>
    </w:lvl>
    <w:lvl w:ilvl="1">
      <w:lvlJc w:val="left"/>
      <w:lvlText w:val="(%2)"/>
      <w:numFmt w:val="lowerLetter"/>
      <w:start w:val="1"/>
    </w:lvl>
  </w:abstractNum>
  <w:abstractNum w:abstractNumId="69">
    <w:nsid w:val="14330624"/>
    <w:multiLevelType w:val="hybridMultilevel"/>
    <w:lvl w:ilvl="0">
      <w:lvlJc w:val="left"/>
      <w:lvlText w:val="%1"/>
      <w:numFmt w:val="decimal"/>
      <w:start w:val="1"/>
    </w:lvl>
    <w:lvl w:ilvl="1">
      <w:lvlJc w:val="left"/>
      <w:lvlText w:val="(%2)"/>
      <w:numFmt w:val="lowerLetter"/>
      <w:start w:val="3"/>
    </w:lvl>
  </w:abstractNum>
  <w:abstractNum w:abstractNumId="70">
    <w:nsid w:val="7FFFCA11"/>
    <w:multiLevelType w:val="hybridMultilevel"/>
    <w:lvl w:ilvl="0">
      <w:lvlJc w:val="left"/>
      <w:lvlText w:val="%1."/>
      <w:numFmt w:val="decimal"/>
      <w:start w:val="6"/>
    </w:lvl>
    <w:lvl w:ilvl="1">
      <w:lvlJc w:val="left"/>
      <w:lvlText w:val="(%2)"/>
      <w:numFmt w:val="lowerLetter"/>
      <w:start w:val="1"/>
    </w:lvl>
  </w:abstractNum>
  <w:abstractNum w:abstractNumId="71">
    <w:nsid w:val="1A27709E"/>
    <w:multiLevelType w:val="hybridMultilevel"/>
    <w:lvl w:ilvl="0">
      <w:lvlJc w:val="left"/>
      <w:lvlText w:val="(%1)"/>
      <w:numFmt w:val="lowerLetter"/>
      <w:start w:val="5"/>
    </w:lvl>
  </w:abstractNum>
  <w:abstractNum w:abstractNumId="72">
    <w:nsid w:val="71EA1109"/>
    <w:multiLevelType w:val="hybridMultilevel"/>
    <w:lvl w:ilvl="0">
      <w:lvlJc w:val="left"/>
      <w:lvlText w:val="(%1)"/>
      <w:numFmt w:val="lowerLetter"/>
      <w:start w:val="10"/>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lowerLetter"/>
      <w:start w:val="2"/>
    </w:lvl>
  </w:abstractNum>
  <w:abstractNum w:abstractNumId="75">
    <w:nsid w:val="6EB5BD4"/>
    <w:multiLevelType w:val="hybridMultilevel"/>
    <w:lvl w:ilvl="0">
      <w:lvlJc w:val="left"/>
      <w:lvlText w:val="(%1)"/>
      <w:numFmt w:val="lowerLetter"/>
      <w:start w:val="4"/>
    </w:lvl>
  </w:abstractNum>
  <w:abstractNum w:abstractNumId="76">
    <w:nsid w:val="6F6DD9AC"/>
    <w:multiLevelType w:val="hybridMultilevel"/>
    <w:lvl w:ilvl="0">
      <w:lvlJc w:val="left"/>
      <w:lvlText w:val="(%1)"/>
      <w:numFmt w:val="lowerLetter"/>
      <w:start w:val="5"/>
    </w:lvl>
  </w:abstractNum>
  <w:abstractNum w:abstractNumId="77">
    <w:nsid w:val="94211F2"/>
    <w:multiLevelType w:val="hybridMultilevel"/>
    <w:lvl w:ilvl="0">
      <w:lvlJc w:val="left"/>
      <w:lvlText w:val="%1."/>
      <w:numFmt w:val="decimal"/>
      <w:start w:val="8"/>
    </w:lvl>
  </w:abstractNum>
  <w:abstractNum w:abstractNumId="78">
    <w:nsid w:val="885E1B"/>
    <w:multiLevelType w:val="hybridMultilevel"/>
    <w:lvl w:ilvl="0">
      <w:lvlJc w:val="left"/>
      <w:lvlText w:val="%1."/>
      <w:numFmt w:val="decimal"/>
      <w:start w:val="9"/>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3"/>
    </w:lvl>
  </w:abstractNum>
  <w:abstractNum w:abstractNumId="81">
    <w:nsid w:val="1716703B"/>
    <w:multiLevelType w:val="hybridMultilevel"/>
    <w:lvl w:ilvl="0">
      <w:lvlJc w:val="left"/>
      <w:lvlText w:val="%1"/>
      <w:numFmt w:val="lowerRoman"/>
      <w:start w:val="1"/>
    </w:lvl>
    <w:lvl w:ilvl="1">
      <w:lvlJc w:val="left"/>
      <w:lvlText w:val="(%2)"/>
      <w:numFmt w:val="lowerLetter"/>
      <w:start w:val="1"/>
    </w:lvl>
  </w:abstractNum>
  <w:abstractNum w:abstractNumId="82">
    <w:nsid w:val="14E17E33"/>
    <w:multiLevelType w:val="hybridMultilevel"/>
    <w:lvl w:ilvl="0">
      <w:lvlJc w:val="left"/>
      <w:lvlText w:val="(%1)"/>
      <w:numFmt w:val="lowerRoman"/>
      <w:start w:val="8"/>
    </w:lvl>
    <w:lvl w:ilvl="1">
      <w:lvlJc w:val="left"/>
      <w:lvlText w:val="(%2)"/>
      <w:numFmt w:val="lowerLetter"/>
      <w:start w:val="2"/>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lowerLetter"/>
      <w:start w:val="2"/>
    </w:lvl>
    <w:lvl w:ilvl="1">
      <w:lvlJc w:val="left"/>
      <w:lvlText w:val="(%2)"/>
      <w:numFmt w:val="lowerRoman"/>
      <w:start w:val="1"/>
    </w:lvl>
  </w:abstractNum>
  <w:abstractNum w:abstractNumId="85">
    <w:nsid w:val="68EBC550"/>
    <w:multiLevelType w:val="hybridMultilevel"/>
    <w:lvl w:ilvl="0">
      <w:lvlJc w:val="left"/>
      <w:lvlText w:val="(%1)"/>
      <w:numFmt w:val="lowerRoman"/>
      <w:start w:val="1"/>
    </w:lvl>
  </w:abstractNum>
  <w:abstractNum w:abstractNumId="86">
    <w:nsid w:val="2DF6D648"/>
    <w:multiLevelType w:val="hybridMultilevel"/>
    <w:lvl w:ilvl="0">
      <w:lvlJc w:val="left"/>
      <w:lvlText w:val="(%1)"/>
      <w:numFmt w:val="lowerLetter"/>
      <w:start w:val="6"/>
    </w:lvl>
  </w:abstractNum>
  <w:abstractNum w:abstractNumId="87">
    <w:nsid w:val="46B7D447"/>
    <w:multiLevelType w:val="hybridMultilevel"/>
    <w:lvl w:ilvl="0">
      <w:lvlJc w:val="left"/>
      <w:lvlText w:val="%1."/>
      <w:numFmt w:val="lowerLetter"/>
      <w:start w:val="2"/>
    </w:lvl>
    <w:lvl w:ilvl="1">
      <w:lvlJc w:val="left"/>
      <w:lvlText w:val="%2."/>
      <w:numFmt w:val="decimal"/>
      <w:start w:val="1"/>
    </w:lvl>
  </w:abstractNum>
  <w:abstractNum w:abstractNumId="88">
    <w:nsid w:val="4A2AC315"/>
    <w:multiLevelType w:val="hybridMultilevel"/>
    <w:lvl w:ilvl="0">
      <w:lvlJc w:val="left"/>
      <w:lvlText w:val="%1"/>
      <w:numFmt w:val="lowerRoman"/>
      <w:start w:val="1"/>
    </w:lvl>
    <w:lvl w:ilvl="1">
      <w:lvlJc w:val="left"/>
      <w:lvlText w:val="(%2)"/>
      <w:numFmt w:val="lowerRoman"/>
      <w:start w:val="1"/>
    </w:lvl>
  </w:abstractNum>
  <w:abstractNum w:abstractNumId="89">
    <w:nsid w:val="39EE015C"/>
    <w:multiLevelType w:val="hybridMultilevel"/>
    <w:lvl w:ilvl="0">
      <w:lvlJc w:val="left"/>
      <w:lvlText w:val="(%1)"/>
      <w:numFmt w:val="lowerRoman"/>
      <w:start w:val="1"/>
    </w:lvl>
    <w:lvl w:ilvl="1">
      <w:lvlJc w:val="left"/>
      <w:lvlText w:val="%2"/>
      <w:numFmt w:val="lowerRoman"/>
      <w:start w:val="1"/>
    </w:lvl>
  </w:abstractNum>
  <w:abstractNum w:abstractNumId="90">
    <w:nsid w:val="57FC4FBB"/>
    <w:multiLevelType w:val="hybridMultilevel"/>
    <w:lvl w:ilvl="0">
      <w:lvlJc w:val="left"/>
      <w:lvlText w:val="(%1)"/>
      <w:numFmt w:val="lowerRoman"/>
      <w:start w:val="6"/>
    </w:lvl>
  </w:abstractNum>
  <w:abstractNum w:abstractNumId="91">
    <w:nsid w:val="CC1016F"/>
    <w:multiLevelType w:val="hybridMultilevel"/>
    <w:lvl w:ilvl="0">
      <w:lvlJc w:val="left"/>
      <w:lvlText w:val="(%1)"/>
      <w:numFmt w:val="lowerRoman"/>
      <w:start w:val="13"/>
    </w:lvl>
  </w:abstractNum>
  <w:abstractNum w:abstractNumId="92">
    <w:nsid w:val="43F18422"/>
    <w:multiLevelType w:val="hybridMultilevel"/>
    <w:lvl w:ilvl="0">
      <w:lvlJc w:val="left"/>
      <w:lvlText w:val="(%1)"/>
      <w:numFmt w:val="lowerLetter"/>
      <w:start w:val="2"/>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jpe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jpe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84" Type="http://schemas.openxmlformats.org/officeDocument/2006/relationships/hyperlink" Target="https://www.sec.gov/ix?doc=/Archives/edgar/data/0001776111/000095017025039838/mbx-20241231.htm" TargetMode="External"/><Relationship Id="rId85" Type="http://schemas.openxmlformats.org/officeDocument/2006/relationships/hyperlink" Target="https://www.sec.gov/ix?doc=/Archives/edgar/data/0001776111/000095017025068602/mbx-20250331.htm" TargetMode="External"/><Relationship Id="rId86" Type="http://schemas.openxmlformats.org/officeDocument/2006/relationships/hyperlink" Target="https://www.sec.gov/ix?doc=/Archives/edgar/data/0001776111/000095017025104619/mbx-20250630.htm" TargetMode="External"/><Relationship Id="rId87" Type="http://schemas.openxmlformats.org/officeDocument/2006/relationships/hyperlink" Target="https://www.sec.gov/ix?doc=/Archives/edgar/data/0001776111/000095017025002555/mbx-20250107.htm" TargetMode="External"/><Relationship Id="rId88" Type="http://schemas.openxmlformats.org/officeDocument/2006/relationships/hyperlink" Target="https://www.sec.gov/ix?doc=/Archives/edgar/data/0001776111/000095017025051371/mbx-20250407.htm" TargetMode="External"/><Relationship Id="rId89" Type="http://schemas.openxmlformats.org/officeDocument/2006/relationships/hyperlink" Target="https://www.sec.gov/ix?doc=/Archives/edgar/data/0001776111/000095017025082697/mbx-20250605.htm" TargetMode="External"/><Relationship Id="rId90" Type="http://schemas.openxmlformats.org/officeDocument/2006/relationships/hyperlink" Target="https://www.sec.gov/ix?doc=/Archives/edgar/data/0001776111/000095017025086546/mbx-20250616.htm" TargetMode="External"/><Relationship Id="rId91" Type="http://schemas.openxmlformats.org/officeDocument/2006/relationships/hyperlink" Target="https://www.sec.gov/ix?doc=/Archives/edgar/data/0001776111/000177611125000007/mbx-20250904.htm" TargetMode="External"/><Relationship Id="rId92" Type="http://schemas.openxmlformats.org/officeDocument/2006/relationships/hyperlink" Target="https://www.sec.gov/ix?doc=/Archives/edgar/data/0001776111/000119312525210049/mbx-20250922.htm" TargetMode="External"/><Relationship Id="rId93" Type="http://schemas.openxmlformats.org/officeDocument/2006/relationships/hyperlink" Target="https://www.sec.gov/ix?doc=/Archives/edgar/data/0001776111/000095017025056978/mbx-20250422.htm" TargetMode="External"/><Relationship Id="rId94" Type="http://schemas.openxmlformats.org/officeDocument/2006/relationships/hyperlink" Target="https://www.sec.gov/Archives/edgar/data/1776111/000119312524216643/d891647d8a12b.htm" TargetMode="External"/><Relationship Id="rId95" Type="http://schemas.openxmlformats.org/officeDocument/2006/relationships/hyperlink" Target="https://www.sec.gov/Archives/edgar/data/1776111/000095017025039838/mbx-ex4_3.htm" TargetMode="External"/><Relationship Id="rId105" Type="http://schemas.openxmlformats.org/officeDocument/2006/relationships/hyperlink" Target="https://www.sec.gov/Archives/edgar/data/1776111/000119312524219621/d888081dex31.htm" TargetMode="External"/><Relationship Id="rId106" Type="http://schemas.openxmlformats.org/officeDocument/2006/relationships/hyperlink" Target="https://www.sec.gov/Archives/edgar/data/1776111/000119312524219621/d888081dex32.htm" TargetMode="External"/><Relationship Id="rId107" Type="http://schemas.openxmlformats.org/officeDocument/2006/relationships/hyperlink" Target="https://www.sec.gov/Archives/edgar/data/1776111/000119312524206227/d790774dex42.htm" TargetMode="External"/><Relationship Id="rId108" Type="http://schemas.openxmlformats.org/officeDocument/2006/relationships/hyperlink" Target="https://www.sec.gov/Archives/edgar/data/1776111/000119312524206227/d790774dex41.htm" TargetMode="External"/><Relationship Id="rId109" Type="http://schemas.openxmlformats.org/officeDocument/2006/relationships/hyperlink" Target="https://www.sec.gov/Archives/edgar/data/1776111/000119312524206227/d790774dex101.htm" TargetMode="External"/><Relationship Id="rId110" Type="http://schemas.openxmlformats.org/officeDocument/2006/relationships/hyperlink" Target="https://www.sec.gov/Archives/edgar/data/1776111/000119312524211217/d790774dex102.htm" TargetMode="External"/><Relationship Id="rId111" Type="http://schemas.openxmlformats.org/officeDocument/2006/relationships/hyperlink" Target="https://www.sec.gov/Archives/edgar/data/1776111/000119312524211217/d790774dex103.htm" TargetMode="External"/><Relationship Id="rId112" Type="http://schemas.openxmlformats.org/officeDocument/2006/relationships/hyperlink" Target="https://www.sec.gov/Archives/edgar/data/1776111/000119312524211217/d790774dex104.htm" TargetMode="External"/><Relationship Id="rId113" Type="http://schemas.openxmlformats.org/officeDocument/2006/relationships/hyperlink" Target="https://www.sec.gov/Archives/edgar/data/1776111/000119312524211217/d790774dex105.htm" TargetMode="External"/><Relationship Id="rId114" Type="http://schemas.openxmlformats.org/officeDocument/2006/relationships/hyperlink" Target="https://www.sec.gov/Archives/edgar/data/1776111/000119312524211217/d790774dex106.htm" TargetMode="External"/><Relationship Id="rId115" Type="http://schemas.openxmlformats.org/officeDocument/2006/relationships/hyperlink" Target="https://www.sec.gov/Archives/edgar/data/1776111/000119312524215436/d790774dex107.htm" TargetMode="External"/><Relationship Id="rId116" Type="http://schemas.openxmlformats.org/officeDocument/2006/relationships/hyperlink" Target="https://www.sec.gov/Archives/edgar/data/1776111/000119312524206227/d790774dex108.htm" TargetMode="External"/><Relationship Id="rId117" Type="http://schemas.openxmlformats.org/officeDocument/2006/relationships/hyperlink" Target="https://www.sec.gov/Archives/edgar/data/1776111/000119312524206227/d790774dex109.htm" TargetMode="External"/><Relationship Id="rId118" Type="http://schemas.openxmlformats.org/officeDocument/2006/relationships/hyperlink" Target="https://www.sec.gov/Archives/edgar/data/1776111/000095017025068602/mbx-ex10_1.htm" TargetMode="External"/><Relationship Id="rId119" Type="http://schemas.openxmlformats.org/officeDocument/2006/relationships/hyperlink" Target="https://www.sec.gov/Archives/edgar/data/1776111/000119312524211217/d790774dex1010.htm" TargetMode="External"/><Relationship Id="rId120" Type="http://schemas.openxmlformats.org/officeDocument/2006/relationships/hyperlink" Target="https://www.sec.gov/Archives/edgar/data/1776111/000119312524211217/d790774dex1011.htm" TargetMode="External"/><Relationship Id="rId121" Type="http://schemas.openxmlformats.org/officeDocument/2006/relationships/hyperlink" Target="https://www.sec.gov/Archives/edgar/data/1776111/000119312524211217/d790774dex1012.htm" TargetMode="External"/><Relationship Id="rId122" Type="http://schemas.openxmlformats.org/officeDocument/2006/relationships/hyperlink" Target="https://www.sec.gov/Archives/edgar/data/1776111/000119312524206227/d79077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2025-09-22T15:20:03Z</dcterms:created>
  <dcterms:modified xsi:type="dcterms:W3CDTF">2025-09-22T15:20:03Z</dcterms:modified>
</cp:coreProperties>
</file>