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bx-20260630.htm"/>
      <w:bookmarkStart w:id="1" w:name="ksmbx20260630"/>
      <w:bookmarkEnd w:id="0"/>
      <w:bookmarkEnd w:id="1"/>
      <w:r>
        <w:rPr/>
        <w:t> </w:t>
      </w:r>
    </w:p>
    <w:p>
      <w:pPr>
        <w:pStyle w:val="TextBody"/>
        <w:bidi w:val="0"/>
        <w:jc w:val="left"/>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_________________ to _________________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001-42272</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MBX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3121"/>
        <w:gridCol w:w="1246"/>
      </w:tblGrid>
      <w:tr>
        <w:trPr/>
        <w:tc>
          <w:tcPr>
            <w:tcW w:w="31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84-1882872</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11711 N. Meridian Street,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Carmel, Indiana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46032</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(317) 659-0200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270" w:type="dxa"/>
        <w:jc w:val="left"/>
        <w:tblInd w:w="0" w:type="dxa"/>
        <w:tblLayout w:type="fixed"/>
        <w:tblCellMar>
          <w:top w:w="28" w:type="dxa"/>
          <w:left w:w="28" w:type="dxa"/>
          <w:bottom w:w="28" w:type="dxa"/>
          <w:right w:w="28" w:type="dxa"/>
        </w:tblCellMar>
      </w:tblPr>
      <w:tblGrid>
        <w:gridCol w:w="3286"/>
        <w:gridCol w:w="146"/>
        <w:gridCol w:w="751"/>
        <w:gridCol w:w="146"/>
        <w:gridCol w:w="294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MBX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3, 2026, the registrant had 48,160,096</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bidi w:val="0"/>
        <w:jc w:val="left"/>
        <w:rPr/>
      </w:pPr>
      <w:r>
        <w:rPr/>
        <w:t> </w:t>
      </w:r>
    </w:p>
    <w:p>
      <w:pPr>
        <w:pStyle w:val="TextBody"/>
        <w:pBdr>
          <w:top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363" w:type="dxa"/>
        <w:jc w:val="left"/>
        <w:tblInd w:w="0" w:type="dxa"/>
        <w:tblLayout w:type="fixed"/>
        <w:tblCellMar>
          <w:top w:w="28" w:type="dxa"/>
          <w:left w:w="28" w:type="dxa"/>
          <w:bottom w:w="28" w:type="dxa"/>
          <w:right w:w="28" w:type="dxa"/>
        </w:tblCellMar>
      </w:tblPr>
      <w:tblGrid>
        <w:gridCol w:w="886"/>
        <w:gridCol w:w="79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9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_of_operations_and_comp_los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stockholders_equity">
              <w:r>
                <w:rPr>
                  <w:rStyle w:val="InternetLink"/>
                  <w:rFonts w:ascii="Times New Roman" w:hAnsi="Times New Roman"/>
                  <w:color w:val="0000FF"/>
                  <w:sz w:val="20"/>
                  <w:u w:val="single"/>
                </w:rPr>
                <w:t>Condensed Statements of Stockholders’ Equity (Deficit) and Convertible Preferred Stock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
              <w:r>
                <w:rPr>
                  <w:rStyle w:val="InternetLink"/>
                  <w:rFonts w:ascii="Times New Roman" w:hAnsi="Times New Roman"/>
                  <w:color w:val="0000FF"/>
                  <w:sz w:val="20"/>
                  <w:u w:val="single"/>
                </w:rPr>
                <w:t>Notes to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_dis">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
              <w:r>
                <w:rPr>
                  <w:rStyle w:val="InternetLink"/>
                  <w:rFonts w:ascii="Times New Roman" w:hAnsi="Times New Roman"/>
                  <w:color w:val="0000FF"/>
                  <w:sz w:val="20"/>
                  <w:u w:val="single"/>
                </w:rPr>
                <w:t>Unregistered Sales of Equity Securities, Use of Proceeds and Issuer Purchases of Equity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(this "Quarterly Report") contains forward looking statements, including the sections entitled "Management's Discussion and Analysis of Financial Condition and Results of Operations" and "Risk Factors". These sections contain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current and future research and development programs,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complete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finalize the design or formulation of any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platform to optimize pharmacokinetic and/or pharmacologic properties;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any product candidates that we may identify and successfully complete any clinical studies, including the manufacture of any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quickly leverage programs within our initial target indications and to progress additional programs to further develop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internalize certain of our discovery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of certain diseases and conditions we intend to treat and the size of the market opportunity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the number of patients with certain diseases and conditions we intend to treat and the number of patients that we will enroll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of our clinical trials demonstrating safety and efficacy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investigational new drug applications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announcement of interim and final results from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projected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programs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technology and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leverage the clinical, regulatory, and manufacturing advancements to accelerate our clinical trials and approval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meet future regulatory standards with respect to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our technology and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other geopolitical developments in the United States and foreign countries and their potential impacts, if any,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of 2012 or a smaller reporting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scientific and management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cash, cash equivalents and marketable securities, including the proceeds from our public offerings, our financial performance, estimates of our expenses, capital requirements, and need for additional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the SEC as exhibits to this Quarterly Report and previous filings, completely and with the understanding that our actual future results may be materially different from any future results expressed or implied by these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their estimates, in particular, as they relate to projections, involve numerous assumptions, are subject to risks and uncertainties and are subject to change based on various factors, including those discussed under the section entitled “Risk Factors” and elsewhere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MBX BIOSCIENCES, INC.</w:t>
      </w:r>
    </w:p>
    <w:p>
      <w:pPr>
        <w:pStyle w:val="TextBody"/>
        <w:bidi w:val="0"/>
        <w:spacing w:before="240" w:after="283"/>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4"/>
        <w:gridCol w:w="857"/>
        <w:gridCol w:w="592"/>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75,289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298,416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381,539</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385,144</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Undesignated preferred stock, $0.0001 par value, 10,000,000 shares authorized and zero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500,000,000 shares authorized and 47,949,804</w:t>
              <w:br/>
              <w:t>   issued and outstanding as of June 30, 2026 and 500,000,000 shares</w:t>
              <w:br/>
              <w:t>   authorized and 44,927,953 issued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593,407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(224,476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369,223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385,144</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MBX BIOSCIENCES, INC.</w:t>
      </w:r>
    </w:p>
    <w:p>
      <w:pPr>
        <w:pStyle w:val="TextBody"/>
        <w:bidi w:val="0"/>
        <w:spacing w:before="240" w:after="283"/>
        <w:jc w:val="center"/>
        <w:rPr>
          <w:rFonts w:ascii="Times New Roman" w:hAnsi="Times New Roman"/>
          <w:b/>
          <w:color w:val="000000"/>
          <w:sz w:val="20"/>
        </w:rPr>
      </w:pPr>
      <w:bookmarkStart w:id="5" w:name="condensed_st_of_operations_and_comp_loss"/>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 -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 used in</w:t>
              <w:br/>
              <w:t>   computation of 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47,696,363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33,446,385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47,139,378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33,429,479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MBX BIOSCIENCES, INC.</w:t>
      </w:r>
    </w:p>
    <w:p>
      <w:pPr>
        <w:pStyle w:val="TextBody"/>
        <w:bidi w:val="0"/>
        <w:spacing w:before="240" w:after="283"/>
        <w:jc w:val="center"/>
        <w:rPr>
          <w:rFonts w:ascii="Times New Roman" w:hAnsi="Times New Roman"/>
          <w:b/>
          <w:color w:val="000000"/>
          <w:sz w:val="20"/>
        </w:rPr>
      </w:pPr>
      <w:bookmarkStart w:id="6" w:name="condensed_stmt_of_stockholders_equity"/>
      <w:bookmarkEnd w:id="6"/>
      <w:r>
        <w:rPr>
          <w:rFonts w:ascii="Times New Roman" w:hAnsi="Times New Roman"/>
          <w:b/>
          <w:color w:val="000000"/>
          <w:sz w:val="20"/>
        </w:rPr>
        <w:t>CONDENSED STATEMENTS OF STOCKHOLDERS’ EQUITY (DEFICIT) AND CONVERTIBLE PREFERRED STOCK</w:t>
      </w:r>
    </w:p>
    <w:p>
      <w:pPr>
        <w:pStyle w:val="TextBody"/>
        <w:bidi w:val="0"/>
        <w:jc w:val="center"/>
        <w:rPr>
          <w:rFonts w:ascii="Times New Roman" w:hAnsi="Times New Roman"/>
          <w:b/>
          <w:color w:val="000000"/>
          <w:sz w:val="20"/>
        </w:rPr>
      </w:pPr>
      <w:r>
        <w:rPr>
          <w:rFonts w:ascii="Times New Roman" w:hAnsi="Times New Roman"/>
          <w:b/>
          <w:color w:val="000000"/>
          <w:sz w:val="20"/>
        </w:rPr>
        <w:t>(Unaudited - in thousands, except share amounts)</w:t>
      </w:r>
    </w:p>
    <w:p>
      <w:pPr>
        <w:pStyle w:val="TextBody"/>
        <w:bidi w:val="0"/>
        <w:jc w:val="center"/>
        <w:rPr/>
      </w:pPr>
      <w:r>
        <w:rPr/>
        <w:t> </w:t>
      </w:r>
    </w:p>
    <w:tbl>
      <w:tblPr>
        <w:tblW w:w="9576" w:type="dxa"/>
        <w:jc w:val="left"/>
        <w:tblInd w:w="0" w:type="dxa"/>
        <w:tblLayout w:type="fixed"/>
        <w:tblCellMar>
          <w:top w:w="28" w:type="dxa"/>
          <w:left w:w="28" w:type="dxa"/>
          <w:bottom w:w="28" w:type="dxa"/>
          <w:right w:w="28" w:type="dxa"/>
        </w:tblCellMar>
      </w:tblPr>
      <w:tblGrid>
        <w:gridCol w:w="2531"/>
        <w:gridCol w:w="146"/>
        <w:gridCol w:w="146"/>
        <w:gridCol w:w="766"/>
        <w:gridCol w:w="146"/>
        <w:gridCol w:w="146"/>
        <w:gridCol w:w="196"/>
        <w:gridCol w:w="375"/>
        <w:gridCol w:w="146"/>
        <w:gridCol w:w="146"/>
        <w:gridCol w:w="181"/>
        <w:gridCol w:w="586"/>
        <w:gridCol w:w="146"/>
        <w:gridCol w:w="146"/>
        <w:gridCol w:w="194"/>
        <w:gridCol w:w="677"/>
        <w:gridCol w:w="151"/>
        <w:gridCol w:w="146"/>
        <w:gridCol w:w="278"/>
        <w:gridCol w:w="743"/>
        <w:gridCol w:w="151"/>
        <w:gridCol w:w="146"/>
        <w:gridCol w:w="219"/>
        <w:gridCol w:w="712"/>
        <w:gridCol w:w="356"/>
      </w:tblGrid>
      <w:tr>
        <w:trPr/>
        <w:tc>
          <w:tcPr>
            <w:tcW w:w="2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Outstanding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b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44,927,953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(224,476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369,223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w:t>
              <w:br/>
              <w:t xml:space="preserve">  from at-the-market offering, net of </w:t>
              <w:br/>
              <w: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85,016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w:t>
              <w:br/>
              <w:t>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w:t>
              <w:br/>
              <w:t>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(23,517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47,570,464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686,349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(247,993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437,756</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w:t>
              <w:br/>
              <w:t>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w:t>
              <w:br/>
              <w:t>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w:t>
              <w:br/>
              <w:t>   upon purchases related to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(37,095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47,949,804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695,843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(285,088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409,539</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761" w:type="dxa"/>
        <w:jc w:val="left"/>
        <w:tblInd w:w="0" w:type="dxa"/>
        <w:tblLayout w:type="fixed"/>
        <w:tblCellMar>
          <w:top w:w="28" w:type="dxa"/>
          <w:left w:w="28" w:type="dxa"/>
          <w:bottom w:w="28" w:type="dxa"/>
          <w:right w:w="28" w:type="dxa"/>
        </w:tblCellMar>
      </w:tblPr>
      <w:tblGrid>
        <w:gridCol w:w="2711"/>
        <w:gridCol w:w="146"/>
        <w:gridCol w:w="146"/>
        <w:gridCol w:w="766"/>
        <w:gridCol w:w="151"/>
        <w:gridCol w:w="146"/>
        <w:gridCol w:w="196"/>
        <w:gridCol w:w="375"/>
        <w:gridCol w:w="146"/>
        <w:gridCol w:w="146"/>
        <w:gridCol w:w="181"/>
        <w:gridCol w:w="586"/>
        <w:gridCol w:w="146"/>
        <w:gridCol w:w="146"/>
        <w:gridCol w:w="194"/>
        <w:gridCol w:w="677"/>
        <w:gridCol w:w="151"/>
        <w:gridCol w:w="146"/>
        <w:gridCol w:w="350"/>
        <w:gridCol w:w="671"/>
        <w:gridCol w:w="151"/>
        <w:gridCol w:w="146"/>
        <w:gridCol w:w="219"/>
        <w:gridCol w:w="712"/>
        <w:gridCol w:w="356"/>
      </w:tblGrid>
      <w:tr>
        <w:trPr/>
        <w:tc>
          <w:tcPr>
            <w:tcW w:w="2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Outstanding</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br/>
              <w:t>Deficit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33,421,525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257,442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w:t>
              <w:br/>
              <w:t>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Repurchase of restricted stock due to early</w:t>
              <w:br/>
              <w:t>   exercised unvested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(23,880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33,424,371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396,749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(161,385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235,422</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w:t>
              <w:br/>
              <w:t>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167,855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(19,411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33,592,226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(180,796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219,239</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MBX BIOSCIENCES, INC.</w:t>
      </w:r>
    </w:p>
    <w:p>
      <w:pPr>
        <w:pStyle w:val="TextBody"/>
        <w:bidi w:val="0"/>
        <w:jc w:val="center"/>
        <w:rPr/>
      </w:pPr>
      <w:r>
        <w:rPr/>
        <w:t> </w:t>
      </w:r>
    </w:p>
    <w:p>
      <w:pPr>
        <w:pStyle w:val="TextBody"/>
        <w:bidi w:val="0"/>
        <w:jc w:val="center"/>
        <w:rPr>
          <w:rFonts w:ascii="Times New Roman" w:hAnsi="Times New Roman"/>
          <w:b/>
          <w:color w:val="000000"/>
          <w:sz w:val="20"/>
        </w:rPr>
      </w:pPr>
      <w:bookmarkStart w:id="7" w:name="condensed_statements_of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 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and amortization of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Call redemptions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at-the-market offering, net of underwriting discounts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related to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89,756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Tenant allowance leasehold improvement included in 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common stock options included in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public offering costs included in accounts payable and accrued</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MBX BIOSCIENCES, INC.</w:t>
      </w:r>
    </w:p>
    <w:p>
      <w:pPr>
        <w:pStyle w:val="TextBody"/>
        <w:bidi w:val="0"/>
        <w:spacing w:before="240" w:after="283"/>
        <w:jc w:val="center"/>
        <w:rPr>
          <w:rFonts w:ascii="Times New Roman" w:hAnsi="Times New Roman"/>
          <w:b/>
          <w:caps/>
          <w:color w:val="000000"/>
          <w:sz w:val="20"/>
        </w:rPr>
      </w:pPr>
      <w:bookmarkStart w:id="8" w:name="notes_to_unaudited_condensed"/>
      <w:bookmarkEnd w:id="8"/>
      <w:r>
        <w:rPr>
          <w:rFonts w:ascii="Times New Roman" w:hAnsi="Times New Roman"/>
          <w:b/>
          <w:caps/>
          <w:color w:val="000000"/>
          <w:sz w:val="20"/>
        </w:rPr>
        <w:t>NOTES TO Unaudited Condensed FINANCIAL STATEMENTS</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NATURE OF BUSINESS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MBX Biosciences, Inc. (“MBX” or the “Company”) is a clinical-stage biopharmaceutical company focused on the discovery and development of novel precision peptide therapies for the treatment of endocrine and metabolic disorders. The Company is advancing a pipeline of novel candidates for endocrine and metabolic disorders. The Company was organized in August 2018 in Indiana as a Limited Liability Company and converted to a C corporation in the state of Delaware in April 2019. The Company maintains its corporate offices in Carmel, Indiana, as well as lab and supplemental office space in Burlington, Massachusetts.</w:t>
      </w:r>
    </w:p>
    <w:p>
      <w:pPr>
        <w:pStyle w:val="TextBody"/>
        <w:bidi w:val="0"/>
        <w:spacing w:before="240" w:after="283"/>
        <w:jc w:val="left"/>
        <w:rPr>
          <w:rFonts w:ascii="Times New Roman" w:hAnsi="Times New Roman"/>
          <w:sz w:val="20"/>
        </w:rPr>
      </w:pPr>
      <w:r>
        <w:rPr>
          <w:rFonts w:ascii="Times New Roman" w:hAnsi="Times New Roman"/>
          <w:color w:val="000000"/>
          <w:sz w:val="20"/>
        </w:rPr>
        <w:t>Since inception, the Company has devoted substantially all of its resources to drug discovery and development of its product candidates canvuparatide (MBX 2109), imapextide (MBX 1416), MBX 4291, and other preclinical programs, building an intellectual property portfolio, organizing and staffing the Company, business planning, raising capital and providing general and administrative support for these operations. The Company does not have any products approved for sale and has not generated any revenue from product sales. The Company has historically funded its operations primarily through the issuance and sale of our common stock, including through our initial public offering (the "IPO"), convertible preferred stock and convertible notes, which generated approximately $401.8 million in aggregate gross proceeds. In September 2025, the Company also completed an underwritten public offering (the "September 2025 Offering") of 11,108,055 shares of its common stock, which generated approximately $199.9 million in aggregate gross proceeds. In February 2026, the Company sold 2,250,986 shares of its common stock under its Open Market Sale Agreement</w:t>
      </w:r>
      <w:r>
        <w:rPr>
          <w:rFonts w:ascii="Times New Roman" w:hAnsi="Times New Roman"/>
          <w:color w:val="000000"/>
          <w:sz w:val="13"/>
        </w:rPr>
        <w:t>SM</w:t>
      </w:r>
      <w:r>
        <w:rPr>
          <w:rFonts w:ascii="Times New Roman" w:hAnsi="Times New Roman"/>
          <w:color w:val="000000"/>
          <w:sz w:val="20"/>
        </w:rPr>
        <w:t xml:space="preserve"> with Jefferies, LLC (the "February 2026 ATM Offering"), which generated approximately $87.1 million in aggregate gross proceeds, resulting in $688.8 million in cumulative, aggregate gross proceeds from those sales of common stock. In March 2026, the Company filed an automatic shelf registration statement with the Securities and Exchange Commission (File No. 333-294237) and increased the amount available under the Open Market Sale Agreement</w:t>
      </w:r>
      <w:r>
        <w:rPr>
          <w:rFonts w:ascii="Times New Roman" w:hAnsi="Times New Roman"/>
          <w:color w:val="000000"/>
          <w:sz w:val="13"/>
        </w:rPr>
        <w:t>SM</w:t>
      </w:r>
      <w:r>
        <w:rPr>
          <w:rFonts w:ascii="Times New Roman" w:hAnsi="Times New Roman"/>
          <w:color w:val="000000"/>
          <w:sz w:val="20"/>
        </w:rPr>
        <w:t xml:space="preserve"> with Jefferies, LLC (the "March 2026 Sales Agreement"), under which the Company may now, from time to time in one or more offerings, sell and issue shares of its common stock having an aggregate price of up to $250.0 million.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inception and through June 30, 2026, the Company has devoted substantially all of its efforts to drug discovery and development. The Company has a limited operating history, has incurred operating losses since inception and expects to continue to incur significant operating losses for the foreseeable future. The Company incurred net losses of $60.6 million and $87.0 million for the six months ended June 30, 2026 and the year ended December 31, 2025, respectively. As of June 30, 2026, the Company has an accumulated deficit of $285.1 million and cash, cash equivalents and marketable securities of $418.6 million. Based on the Company’s current operating plan, management believes that existing cash and cash equivalents and marketable securities will be sufficient to fund the Company’s obligations for at least 12 months from the date of issuance of these condensed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financial statements as of June 30, 2026 and for the three and six months ended June 30, 2026 and 2025 have been prepared in accordance with U.S. generally accepted accounting principles ("U.S. GAAP") for interim financial information and pursuant to Article 10 of Regulation S-X of the Securities Act of 1933,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The results for the three and six months ended June 30, 2026 are not necessarily indicative of the results expected for the full fiscal year or any subsequent interim period. The condensed balance sheet at December 31, 2025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2025 included in the Company's Annual Report on Form 10-K as filed with the SEC on March 12, 2026 ("2025 Annual Report").</w:t>
      </w:r>
    </w:p>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from the significant accounting policies and estimates disclosed in Note 2 of the "Notes to Financial Statements" in the audited financial statements for the year ended December 31, 2025 and notes thereto, included in the 2025 Annual Report, except as noted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date of purchase to be cash equivalents. As of June 30, 2026 and December 31, 2025, cash and cash equivalents consisted primarily of checking and savings deposits, money market fund holdings, and commercial paper. The Company maintains certain cash balances that are legally or contractually restricted as to withdrawal or use. These balances are classified as restricted cash and are included in prepaid expenses and other current assets or other assets in the accompanying balance sheets, depending on the nature and timing of the restrictions. The Company's restricted cash relates to amounts held under a letter of credit in connection with a lease agreement. As of June 30, 2026, $0.2 million of restricted cash is included in other assets in the accompanying June 30, 2026 balance sheet. The Company did not have any restricted cash balances at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purposes of the condensed statements of cash flows, cash, cash equivalents and restricted cash are included in the beginning of period and end of period total cash, cash equivalents and restricted cash balances.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as deferred offering costs all direct and incremental legal, professional, accounting and other third-party fees incurred in connection with the March 2026 Sales Agreement, the February 2026 ATM Offering and the September 2025 Offering. The deferred offering costs related to the February 2026 ATM Offering and the September 2025 Offering were each offset against the February 2026 ATM Offering proceeds and the September 2025 Offering proceeds, respectively, upon the consummation of the applicable offerings. As of June 30, 2026, $0.4 million of deferred offering costs are included in other assets in the accompanying June 30, 2026 balance sheet, of which less than $0.1 million are included in accounts payable and accrued expenses. As of December 31, 2025, the Company had $0.3 million of deferred offering costs included in other assets, of which $0.1 million were included in accounts payable and accrued expenses, in the accompanying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standard-setting bodies and adopted by the Company as of the specified effective date. Unless otherwise discussed, the Company believes that the impact of recently issued standards that are not yet effective will not have a material impact on the accompanying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which is intended to provide more detailed information about specified categories of expenses (purchases of inventory, employee compensation, depreciation and amortization) included in certain expense captions presented on the face of our income statements. This new standard is effective for fiscal years beginning after December 15, 2026, and interim periods within fiscal years beginning after December 15, 2027. Early adoption is permitted. The amendments may be applied either (1) prospectively to financial statements issued for periods after the effective date of this ASU or (2) retrospectively to all prior periods presented in the financial statements. The Company is currently assessing the impact ASU 2024-03 will have on its financial statements, including the footnote disclosures.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3.</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presents information about the Company’s financial instruments as of June 30, 2026 and December 31, 2025, that are measured at fair value on a recurring basis and indicates the fair value hierarchy of the inputs the Company utilized to determine such fair value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360" w:type="dxa"/>
        <w:jc w:val="left"/>
        <w:tblInd w:w="0" w:type="dxa"/>
        <w:tblLayout w:type="fixed"/>
        <w:tblCellMar>
          <w:top w:w="28" w:type="dxa"/>
          <w:left w:w="28" w:type="dxa"/>
          <w:bottom w:w="28" w:type="dxa"/>
          <w:right w:w="28" w:type="dxa"/>
        </w:tblCellMar>
      </w:tblPr>
      <w:tblGrid>
        <w:gridCol w:w="3646"/>
        <w:gridCol w:w="146"/>
        <w:gridCol w:w="211"/>
        <w:gridCol w:w="781"/>
        <w:gridCol w:w="146"/>
        <w:gridCol w:w="146"/>
        <w:gridCol w:w="211"/>
        <w:gridCol w:w="781"/>
        <w:gridCol w:w="146"/>
        <w:gridCol w:w="146"/>
        <w:gridCol w:w="211"/>
        <w:gridCol w:w="676"/>
        <w:gridCol w:w="146"/>
        <w:gridCol w:w="146"/>
        <w:gridCol w:w="239"/>
        <w:gridCol w:w="391"/>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360" w:type="dxa"/>
        <w:jc w:val="left"/>
        <w:tblInd w:w="0" w:type="dxa"/>
        <w:tblLayout w:type="fixed"/>
        <w:tblCellMar>
          <w:top w:w="28" w:type="dxa"/>
          <w:left w:w="28" w:type="dxa"/>
          <w:bottom w:w="28" w:type="dxa"/>
          <w:right w:w="28" w:type="dxa"/>
        </w:tblCellMar>
      </w:tblPr>
      <w:tblGrid>
        <w:gridCol w:w="3646"/>
        <w:gridCol w:w="146"/>
        <w:gridCol w:w="211"/>
        <w:gridCol w:w="781"/>
        <w:gridCol w:w="146"/>
        <w:gridCol w:w="146"/>
        <w:gridCol w:w="211"/>
        <w:gridCol w:w="781"/>
        <w:gridCol w:w="146"/>
        <w:gridCol w:w="146"/>
        <w:gridCol w:w="211"/>
        <w:gridCol w:w="676"/>
        <w:gridCol w:w="146"/>
        <w:gridCol w:w="146"/>
        <w:gridCol w:w="239"/>
        <w:gridCol w:w="391"/>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4.</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marketable securities as of June 30, 2026 and December 31, 2025 is based on Level 1 and Level 2 inputs. The Company’s investments consist mainly of U.S. government and agency securities. Fair value is determined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 There were no transfers between levels within the fair value hierarchy during each of the six months ended June 30, 2026 and 2025. The Company has assessed U.S. government treasuries as Level 1 and all other marketable securities as Level 2 within the fair value hierarchy of ASC 820. The Company classifies its entire investment portfolio as available-for-sale as defined in ASC 320, Debt Securities, and views all investments as available for use in its current operations. The Company has therefore classified all securities as current, even if it does not necessarily intend to dispose of the securities in the following year. Securities are carried at fair value with the unrealized (losses) gains reported in other comprehensive (loss)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none of the Company’s investments were determined to be other than temporarily impaired. </w:t>
      </w:r>
    </w:p>
    <w:p>
      <w:pPr>
        <w:pStyle w:val="TextBody"/>
        <w:bidi w:val="0"/>
        <w:spacing w:before="240" w:after="283"/>
        <w:jc w:val="left"/>
        <w:rPr>
          <w:rFonts w:ascii="Times New Roman" w:hAnsi="Times New Roman"/>
          <w:sz w:val="20"/>
        </w:rPr>
      </w:pPr>
      <w:r>
        <w:rPr>
          <w:rFonts w:ascii="Times New Roman" w:hAnsi="Times New Roman"/>
          <w:color w:val="000000"/>
          <w:sz w:val="20"/>
        </w:rPr>
        <w:t>The following table summarizes the Company’s investments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177" w:type="dxa"/>
        <w:jc w:val="left"/>
        <w:tblInd w:w="0" w:type="dxa"/>
        <w:tblLayout w:type="fixed"/>
        <w:tblCellMar>
          <w:top w:w="28" w:type="dxa"/>
          <w:left w:w="28" w:type="dxa"/>
          <w:bottom w:w="28" w:type="dxa"/>
          <w:right w:w="28" w:type="dxa"/>
        </w:tblCellMar>
      </w:tblPr>
      <w:tblGrid>
        <w:gridCol w:w="2911"/>
        <w:gridCol w:w="146"/>
        <w:gridCol w:w="2131"/>
        <w:gridCol w:w="146"/>
        <w:gridCol w:w="211"/>
        <w:gridCol w:w="781"/>
        <w:gridCol w:w="146"/>
        <w:gridCol w:w="146"/>
        <w:gridCol w:w="443"/>
        <w:gridCol w:w="443"/>
        <w:gridCol w:w="146"/>
        <w:gridCol w:w="146"/>
        <w:gridCol w:w="222"/>
        <w:gridCol w:w="664"/>
        <w:gridCol w:w="166"/>
        <w:gridCol w:w="146"/>
        <w:gridCol w:w="211"/>
        <w:gridCol w:w="781"/>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77" w:type="dxa"/>
        <w:jc w:val="left"/>
        <w:tblInd w:w="0" w:type="dxa"/>
        <w:tblLayout w:type="fixed"/>
        <w:tblCellMar>
          <w:top w:w="28" w:type="dxa"/>
          <w:left w:w="28" w:type="dxa"/>
          <w:bottom w:w="28" w:type="dxa"/>
          <w:right w:w="28" w:type="dxa"/>
        </w:tblCellMar>
      </w:tblPr>
      <w:tblGrid>
        <w:gridCol w:w="2911"/>
        <w:gridCol w:w="146"/>
        <w:gridCol w:w="2131"/>
        <w:gridCol w:w="146"/>
        <w:gridCol w:w="211"/>
        <w:gridCol w:w="781"/>
        <w:gridCol w:w="146"/>
        <w:gridCol w:w="146"/>
        <w:gridCol w:w="295"/>
        <w:gridCol w:w="591"/>
        <w:gridCol w:w="146"/>
        <w:gridCol w:w="146"/>
        <w:gridCol w:w="387"/>
        <w:gridCol w:w="499"/>
        <w:gridCol w:w="166"/>
        <w:gridCol w:w="146"/>
        <w:gridCol w:w="211"/>
        <w:gridCol w:w="781"/>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The fair values of available-for-sale debt securities as of June 30, 2026, by contractual maturity, are summarized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3413" w:type="dxa"/>
        <w:jc w:val="left"/>
        <w:tblInd w:w="0" w:type="dxa"/>
        <w:tblLayout w:type="fixed"/>
        <w:tblCellMar>
          <w:top w:w="28" w:type="dxa"/>
          <w:left w:w="28" w:type="dxa"/>
          <w:bottom w:w="28" w:type="dxa"/>
          <w:right w:w="28" w:type="dxa"/>
        </w:tblCellMar>
      </w:tblPr>
      <w:tblGrid>
        <w:gridCol w:w="1951"/>
        <w:gridCol w:w="146"/>
        <w:gridCol w:w="239"/>
        <w:gridCol w:w="88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5.</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PREPAID EXPENSES and Other Current assets</w:t>
      </w:r>
    </w:p>
    <w:p>
      <w:pPr>
        <w:pStyle w:val="TextBody"/>
        <w:bidi w:val="0"/>
        <w:spacing w:before="120" w:after="283"/>
        <w:jc w:val="left"/>
        <w:rPr>
          <w:rFonts w:ascii="Times New Roman" w:hAnsi="Times New Roman"/>
          <w:sz w:val="20"/>
        </w:rPr>
      </w:pPr>
      <w:r>
        <w:rPr>
          <w:rFonts w:ascii="Times New Roman" w:hAnsi="Times New Roman"/>
          <w:color w:val="000000"/>
          <w:sz w:val="20"/>
        </w:rPr>
        <w:t>Prepaid and other current assets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182" w:type="dxa"/>
        <w:jc w:val="left"/>
        <w:tblInd w:w="0" w:type="dxa"/>
        <w:tblLayout w:type="fixed"/>
        <w:tblCellMar>
          <w:top w:w="28" w:type="dxa"/>
          <w:left w:w="28" w:type="dxa"/>
          <w:bottom w:w="28" w:type="dxa"/>
          <w:right w:w="28" w:type="dxa"/>
        </w:tblCellMar>
      </w:tblPr>
      <w:tblGrid>
        <w:gridCol w:w="3676"/>
        <w:gridCol w:w="146"/>
        <w:gridCol w:w="211"/>
        <w:gridCol w:w="571"/>
        <w:gridCol w:w="146"/>
        <w:gridCol w:w="146"/>
        <w:gridCol w:w="294"/>
        <w:gridCol w:w="80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6.</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PROPERTY AND EQUIPMENT, NET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Property and equipment, net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637" w:type="dxa"/>
        <w:jc w:val="left"/>
        <w:tblInd w:w="0" w:type="dxa"/>
        <w:tblLayout w:type="fixed"/>
        <w:tblCellMar>
          <w:top w:w="28" w:type="dxa"/>
          <w:left w:w="28" w:type="dxa"/>
          <w:bottom w:w="28" w:type="dxa"/>
          <w:right w:w="28" w:type="dxa"/>
        </w:tblCellMar>
      </w:tblPr>
      <w:tblGrid>
        <w:gridCol w:w="2911"/>
        <w:gridCol w:w="146"/>
        <w:gridCol w:w="211"/>
        <w:gridCol w:w="571"/>
        <w:gridCol w:w="166"/>
        <w:gridCol w:w="146"/>
        <w:gridCol w:w="294"/>
        <w:gridCol w:w="801"/>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expense was $0.1 million for each of the three and six months ended June 30, 2026 and 2025, respectively.</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7.</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ACCRUED Expenses</w:t>
      </w:r>
    </w:p>
    <w:p>
      <w:pPr>
        <w:pStyle w:val="TextBody"/>
        <w:bidi w:val="0"/>
        <w:spacing w:before="120" w:after="283"/>
        <w:jc w:val="left"/>
        <w:rPr>
          <w:rFonts w:ascii="Times New Roman" w:hAnsi="Times New Roman"/>
          <w:sz w:val="20"/>
        </w:rPr>
      </w:pPr>
      <w:r>
        <w:rPr>
          <w:rFonts w:ascii="Times New Roman" w:hAnsi="Times New Roman"/>
          <w:color w:val="000000"/>
          <w:sz w:val="20"/>
        </w:rPr>
        <w:t>Accrued expenses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702" w:type="dxa"/>
        <w:jc w:val="left"/>
        <w:tblInd w:w="0" w:type="dxa"/>
        <w:tblLayout w:type="fixed"/>
        <w:tblCellMar>
          <w:top w:w="28" w:type="dxa"/>
          <w:left w:w="28" w:type="dxa"/>
          <w:bottom w:w="28" w:type="dxa"/>
          <w:right w:w="28" w:type="dxa"/>
        </w:tblCellMar>
      </w:tblPr>
      <w:tblGrid>
        <w:gridCol w:w="3091"/>
        <w:gridCol w:w="146"/>
        <w:gridCol w:w="211"/>
        <w:gridCol w:w="676"/>
        <w:gridCol w:w="146"/>
        <w:gridCol w:w="146"/>
        <w:gridCol w:w="260"/>
        <w:gridCol w:w="835"/>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8.</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Other Assets</w:t>
      </w:r>
    </w:p>
    <w:p>
      <w:pPr>
        <w:pStyle w:val="TextBody"/>
        <w:bidi w:val="0"/>
        <w:spacing w:before="120" w:after="283"/>
        <w:jc w:val="left"/>
        <w:rPr>
          <w:rFonts w:ascii="Times New Roman" w:hAnsi="Times New Roman"/>
          <w:sz w:val="20"/>
        </w:rPr>
      </w:pPr>
      <w:r>
        <w:rPr>
          <w:rFonts w:ascii="Times New Roman" w:hAnsi="Times New Roman"/>
          <w:color w:val="000000"/>
          <w:sz w:val="20"/>
        </w:rPr>
        <w:t>Other assets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4395" w:type="dxa"/>
        <w:jc w:val="left"/>
        <w:tblInd w:w="0" w:type="dxa"/>
        <w:tblLayout w:type="fixed"/>
        <w:tblCellMar>
          <w:top w:w="28" w:type="dxa"/>
          <w:left w:w="28" w:type="dxa"/>
          <w:bottom w:w="28" w:type="dxa"/>
          <w:right w:w="28" w:type="dxa"/>
        </w:tblCellMar>
      </w:tblPr>
      <w:tblGrid>
        <w:gridCol w:w="1951"/>
        <w:gridCol w:w="146"/>
        <w:gridCol w:w="240"/>
        <w:gridCol w:w="480"/>
        <w:gridCol w:w="146"/>
        <w:gridCol w:w="146"/>
        <w:gridCol w:w="364"/>
        <w:gridCol w:w="73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consists of amounts under a letter of credit related to a lease agreement the Company entered into with 5 Burlington Woods, LLC to lease new office and laboratory space in Burlington, Massachusetts in February 2026. This amount has been included in the ending balance of cash, cash equivalents and restricted cash in the accompanying condensed statements of cash flows.</w:t>
      </w:r>
    </w:p>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9.</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Commitments and contingencies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2022, the Company entered into an operating lease agreement for a principal executive office in Carmel, Indiana (the “Carmel Lease”). The Carmel Lease commenced in October 2022 and had an initial term of 39 months, a termination date of December 31, 2025, and an option to extend for 36 additional months at the Company’s discretion. The option to extend was not considered reasonably certain as of the lease inception. On May 9, 2025, the Company entered into the first amendment of the Carmel Lease (the "First Amendment"). Pursuant to the terms of the First Amendment, the leased premises were expanded, and the lease term was extended through December 31, 2028 with an option to extend for 36 additional months at the Company’s discretion. The option to extend was not considered reasonably certain as of the date of the First Amendment.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a new lease for laboratory space in August 2024, commencing in December 2024, and terminating in December 2025. In October 2025, the Company entered into a new operating lease agreement for laboratory space in Indianapolis, Indiana, commencing in December 2025 and terminating in November 2026. All laboratory leases are short-term leases with no corresponding lease liability or right-of-use asset recorded, and lease payments are recognized as expense on a straight-line basis over the lease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2026, the Company entered into an operating lease agreement with 5 Burlington Woods, LLC to lease new office and laboratory space in Burlington, Massachusetts ("Burlington Lease"). The lease commenced effective April 14, 2026, with the rent commencing five months from the lease commencement date, which will be September 14, 2026 ("rent commencement date"). The lease term is four years from the rent commencement date, with a one-time option to extend the lease term for a period of three years. The option to extend was not considered reasonably certain as of the lease inception. The aggregate base rent over the four-year lease term is approximately $3.4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no other operating or finance leases as of June 30, 2026 or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ASC 842, the Company evaluated the new terms of the First Amendment of the Carmel Lease and determined the First Amendment should be treated as a lease modification of the existing Carmel Lease. In accordance with the accounting guidance, the Company remeasured the lease liability as of May 9, 2025, the First Amendment commencement date, to reflect the changes in the lease payments and the change in the lease term. This resulted in an increase of $0.6 million to the Company's lease liability and a corresponding increase to its right-of-use asset as shown on its balance sheet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ASC 842, the Company evaluated the Burlington Lease Agreement and recorded a $2.8 million lease liability and $2.4 million right-of-use asset on its balance sheet as of June 30, 2026.</w:t>
      </w:r>
    </w:p>
    <w:p>
      <w:pPr>
        <w:pStyle w:val="TextBody"/>
        <w:bidi w:val="0"/>
        <w:spacing w:before="240" w:after="283"/>
        <w:jc w:val="left"/>
        <w:rPr>
          <w:rFonts w:ascii="Times New Roman" w:hAnsi="Times New Roman"/>
          <w:sz w:val="20"/>
        </w:rPr>
      </w:pPr>
      <w:r>
        <w:rPr>
          <w:rFonts w:ascii="Times New Roman" w:hAnsi="Times New Roman"/>
          <w:color w:val="000000"/>
          <w:sz w:val="20"/>
        </w:rPr>
        <w:t>The future minimum rent payments relating to the Carmel Lease and Burlington Lease under the terms and conditions existing as of June 30, 2026, are summarized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3825" w:type="dxa"/>
        <w:jc w:val="left"/>
        <w:tblInd w:w="0" w:type="dxa"/>
        <w:tblLayout w:type="fixed"/>
        <w:tblCellMar>
          <w:top w:w="28" w:type="dxa"/>
          <w:left w:w="28" w:type="dxa"/>
          <w:bottom w:w="28" w:type="dxa"/>
          <w:right w:w="28" w:type="dxa"/>
        </w:tblCellMar>
      </w:tblPr>
      <w:tblGrid>
        <w:gridCol w:w="2686"/>
        <w:gridCol w:w="146"/>
        <w:gridCol w:w="211"/>
        <w:gridCol w:w="57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incurred $0.2 million and $0.1 million of rent expense for the three months ended June 30, 2026 and 2025, respectively. The Company incurred $0.3 million and $0.1 million of rent expense for the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operating lease terms and discount rates for the Carmel Lease and the Burlington Lease as of June 30, 2026 and December 31, 2025:</w:t>
      </w:r>
    </w:p>
    <w:p>
      <w:pPr>
        <w:pStyle w:val="TextBody"/>
        <w:bidi w:val="0"/>
        <w:jc w:val="left"/>
        <w:rPr/>
      </w:pPr>
      <w:r>
        <w:rPr/>
        <w:t> </w:t>
      </w:r>
    </w:p>
    <w:tbl>
      <w:tblPr>
        <w:tblW w:w="6610" w:type="dxa"/>
        <w:jc w:val="left"/>
        <w:tblInd w:w="0" w:type="dxa"/>
        <w:tblLayout w:type="fixed"/>
        <w:tblCellMar>
          <w:top w:w="28" w:type="dxa"/>
          <w:left w:w="28" w:type="dxa"/>
          <w:bottom w:w="28" w:type="dxa"/>
          <w:right w:w="28" w:type="dxa"/>
        </w:tblCellMar>
      </w:tblPr>
      <w:tblGrid>
        <w:gridCol w:w="3916"/>
        <w:gridCol w:w="146"/>
        <w:gridCol w:w="207"/>
        <w:gridCol w:w="513"/>
        <w:gridCol w:w="271"/>
        <w:gridCol w:w="146"/>
        <w:gridCol w:w="261"/>
        <w:gridCol w:w="834"/>
        <w:gridCol w:w="31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Cash paid for amounts included in the measurement of the Company’s operating lease liability was less than $0.1 million for each of the three and six months ended June 30, 2026 and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following table sets forth the amount of right-of-use assets and lease liabilities included on the Company’s balance sheet as of June 30, 2026 and December 31, 2025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882" w:type="dxa"/>
        <w:jc w:val="left"/>
        <w:tblInd w:w="0" w:type="dxa"/>
        <w:tblLayout w:type="fixed"/>
        <w:tblCellMar>
          <w:top w:w="28" w:type="dxa"/>
          <w:left w:w="28" w:type="dxa"/>
          <w:bottom w:w="28" w:type="dxa"/>
          <w:right w:w="28" w:type="dxa"/>
        </w:tblCellMar>
      </w:tblPr>
      <w:tblGrid>
        <w:gridCol w:w="3376"/>
        <w:gridCol w:w="146"/>
        <w:gridCol w:w="211"/>
        <w:gridCol w:w="571"/>
        <w:gridCol w:w="146"/>
        <w:gridCol w:w="146"/>
        <w:gridCol w:w="364"/>
        <w:gridCol w:w="731"/>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entered into an amendment (the "Amendment") for the Exclusive License Agreement with Indiana University Research and Technology Corporation (“IURTC”) (the “License Agreement”), to license certain intellectual property arising under the Master Research Agreement with The Trustees of Indiana University (the "Research Agreement"). The Amendment specifies IURTC is entitled to the receipt of additional clinical and regulatory milestones, as defined in the Amendment, up to an aggregate of $9.0 million. Following the execution of the Amendment, future remaining clinical and regulatory milestone payments in the License Agreement and all amendments totaled up to $9.3 million. In the year ended December 31, 2025, the Company paid a $1.0 million milestone payment to IURTC related to the initiation of the Phase 1 clinical trial MBX 4291. In March 2026, the Company triggered a $0.1 million milestone payment to IURTC following the completion of the end of Phase 2 meeting with the FDA related to the Phase 2 clinical trial of canvuparatide, which was paid in April 2026. This constituted the total license fees paid during the three and six months ended June 30, 2026. In consideration for the license, the Company paid no license fees to IURTC during the three and six months ended June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not currently a party to any material legal proceedings. At each reporting date, the Company evaluates whether a potential loss amount or a potential range of loss is probable and reasonably estimable under the provisions of the authoritative guidance that addresses accounting for contingencies. The Company expenses as incurred the costs related to its legal proceedings.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10.</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its IPO, the Company issued Series A Convertible Preferred Stock, Series B Convertible Preferred Stock and Series C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30, 2024, the Company's board of directors and stockholders approved the fourth amended and restated certificate of incorporation, which was effective immediately prior to the closing of the Company's IPO on September 16, 2024, and which, among other things, authorized 10,000,000 undesignated shares of preferred stock, $0.0001 par value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no shares of convertible preferred stock outstanding at June 30, 2026 or December 31, 2025.</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11.</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30, 2024, the Company’s stockholders approved the fourth amended and restated certificate of incorporation, which was filed upon the closing of the IPO on September 16, 2024 and which, among other things, increased the number of shares of common stock authorized for issuance to 500,000,000 shares of common stock, $0.0001 par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16, 2024, the Company completed the IPO of its common stock and issued and sold 11,730,000 shares of its common stock at a price of $16.00 per share. As a result, the Company received $170.5 million in net proceeds, after deducting underwriting discounts and commissions and offering costs of $17.2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26, 2025, the Company completed the September 2025 Offering and issued and sold 11,108,055 shares of its common stock at a price of $18.00 per share. As a result, the Company received $187.4 million in net proceeds, after deducting underwriting discounts and commissions and offering costs of $12.5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4, 2026, the Company completed the February 2026 ATM Offering and issued and sold 2,250,986 shares of its common stock at a volume weighted average price of $38.76 per share. As a result, the Company received $85.0 million in net proceeds, after deducting underwriting discounts and commissions and offering costs of $2.1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there were 47,949,804 and 44,927,953 shares of common stock issued and outstanding, respectively. As of June 30, 2026, there were no shares of restricted stock related to the unvested portion of early exercised common stock options included in shares of common stock issued and outstanding. Shares of common stock issued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outstanding as of December 31, 2025 included 694 shares of restricted stock related to the unvested portion of early exercised common stock options. These were included in shares of common stock as they were considered to be legally outstanding as of December 31, 2025. These shares were subject to the Company’s option to repurchase and were not transferable until such time as they are fully vested.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reserved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that have been reserved for future issuance in connection with outstanding stock options and restricted stock units ("RSUs") granted under the Company's 2019 Stock Option and Grant Plan (the "2019 Plan"), the 2024 Stock Option and Incentive Plan (the "2024 Plan"), the 2026 Inducement Plan (the "2026 Plan"), and shares reserved for issuance under the 2024 Plan and 2026 Plan and shares reserved for issuance under the 2024 ESPP as of June 30, 2026 and December 31, 2025, are as follows:</w:t>
      </w:r>
    </w:p>
    <w:p>
      <w:pPr>
        <w:pStyle w:val="TextBody"/>
        <w:bidi w:val="0"/>
        <w:jc w:val="left"/>
        <w:rPr/>
      </w:pPr>
      <w:r>
        <w:rPr/>
        <w:t> </w:t>
      </w:r>
    </w:p>
    <w:tbl>
      <w:tblPr>
        <w:tblW w:w="7647" w:type="dxa"/>
        <w:jc w:val="left"/>
        <w:tblInd w:w="0" w:type="dxa"/>
        <w:tblLayout w:type="fixed"/>
        <w:tblCellMar>
          <w:top w:w="28" w:type="dxa"/>
          <w:left w:w="28" w:type="dxa"/>
          <w:bottom w:w="28" w:type="dxa"/>
          <w:right w:w="28" w:type="dxa"/>
        </w:tblCellMar>
      </w:tblPr>
      <w:tblGrid>
        <w:gridCol w:w="4741"/>
        <w:gridCol w:w="146"/>
        <w:gridCol w:w="146"/>
        <w:gridCol w:w="1036"/>
        <w:gridCol w:w="146"/>
        <w:gridCol w:w="146"/>
        <w:gridCol w:w="148"/>
        <w:gridCol w:w="947"/>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4,558,399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issuance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2,819,997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issuance under 2024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623,651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10,826,858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12.</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Stock-Based Compensation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2019 Stock Option and Grant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2019 Plan, as amended, provides for the Company to sell or issue common stock or restricted common stock or to grant incentive stock options or nonqualified stock options for the purchase of common stock, to employees, members of the Board, and consultants of the Company. The 2019 Plan is administered by the Board or at the discretion of the Board by a committee of the Board. The exercise prices, vesting periods, and other restrictions are determined at the discretion of the Board or a committee of the Board, except that the exercise price per share of stock options may not be less than 100% of the fair market value of the share of common stock on the date of grant and the contractual term of stock option may not be greater than 10 years. Stock options granted to date typically vest and become exercisable over four years from the date of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the 2024 Plan became effective, there will be no further awards granted under the 2019 Plan, but all outstanding awards under the 2019 Plan will continue to be governed by their existing terms. 1,820,649 stock options to purchase common stock were outstanding under the 2019 Plan as of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Stock Option and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the Company's board of directors adopted, and its stockholders approved, the 2024 Plan, which became effective in September 2024. The 2024 Plan allows the Company to make equity-based and cash-based incentive awards to its officers, employees, directors and consultants. The 2024 Plan provides for the grant of incentive stock options, stock options, stock appreciation rights, restricted shares of common stock, RSUs, dividend equivalent rights and cash bonuses. The number of shares initially reserved for issuance under the 2024 Plan was 3,065,000 shares. In addition, the number of shares reserved and available for issuance under the 2024 Plan will automatically increase on January 1, 2025 and each January 1 thereafter, by five percent (5%) of the sum of the outstanding number of shares of common stock and the numbers of shares of common stock issuable pursuant to the exercise of any outstanding warrants to acquire common stock for a nominal exercise price on the immediately preceding December 31 or such lesser number of shares as determined by the compensation committee. The number of shares reserved under the 2024 Plan is subject to adjustment in the event of a stock split, stock dividend or other change in our capitalization. As of June 30, 2026, 2,740,557 stock options to purchase common stock and 162,493 RSUs were outstanding under the 2024 Plan, and 4,140,451 shares remained available for future grant under the 2024 Plan. The shares available for issuance under the 2024 Plan may be authorized but unissued shares or shares reacquired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of common stock underlying any awards under the 2024 Plan and the 2019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2024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the Company's board of directors adopted, and its stockholders approved, the 2024 ESPP, which became effective in September 2024. A total of 289,436 shares of common stock were initially reserved for issuance under the 2024 ESPP. The 2024 ESPP provides that the number of shares reserved and available for issuance will automatically increase on January 1, 2025 and each January 1 thereafter, by the least of (i) 578,872 shares of common stock, (ii) one percent (1%) of the number of shares of common stock issued and outstanding on the immediately preceding December 31, or (iii) such lesser number of shares of common stock as determined by the administrator of the 2024 ESPP. The number of shares reserved under the 2024 ESPP is subject to adjustment in the event of a stock split, stock dividend or other change in our capitalization. During the six months ended June 30, 2026, the Company recognized $0.2 million of expense related to the 2024 ESPP. As of June 30, 2026, 1,062,708 shares remained available for issuance under the 2024 ESPP. 10,222 shares were issued under the 2024 ESPP during the three and six months ended June 30, 2026. No shares were issued under the 2024 ESPP during the three and six months ended June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2026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the Company's board of directors adopted and approved the 2026 Plan. The 2026 Plan allows the Company to make equity-based and cash-based incentive awards to its officers, employees, directors and consultants. The 2026 Plan provides for the grant of nonqualified stock options, stock options, stock appreciation rights, restricted shares of common stock, RSUs, dividend equivalent rights and cash bonuses. The number of shares initially reserved for issuance under the 2026 Plan is 130,000 shares. Also, in March 2026, the Company's board of directors approved an increase to the shares reserved under the 2026 Plan to 900,000. The number of shares reserved under the 2026 Plan is subject to adjustment in the event of a stock split, stock dividend or other change in our capitalization. As of June 30, 2026, 610,000 shares remained available for issuance under the 2026 Plan. 290,000 stock options to purchase common stock were outstanding under the 2026 Plan as of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 valuation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determination of the grant date fair value of stock-based awards granted to employees, directors and nonemployees during the six months ended June 30, 2026 and 2025, was estimated using the Black-Scholes option-pricing model and was calculated based on the following assumptions.</w:t>
      </w:r>
    </w:p>
    <w:p>
      <w:pPr>
        <w:pStyle w:val="TextBody"/>
        <w:bidi w:val="0"/>
        <w:jc w:val="left"/>
        <w:rPr/>
      </w:pPr>
      <w:r>
        <w:rPr/>
        <w:t> </w:t>
      </w:r>
    </w:p>
    <w:tbl>
      <w:tblPr>
        <w:tblW w:w="5530" w:type="dxa"/>
        <w:jc w:val="left"/>
        <w:tblInd w:w="0" w:type="dxa"/>
        <w:tblLayout w:type="fixed"/>
        <w:tblCellMar>
          <w:top w:w="28" w:type="dxa"/>
          <w:left w:w="28" w:type="dxa"/>
          <w:bottom w:w="28" w:type="dxa"/>
          <w:right w:w="28" w:type="dxa"/>
        </w:tblCellMar>
      </w:tblPr>
      <w:tblGrid>
        <w:gridCol w:w="2371"/>
        <w:gridCol w:w="146"/>
        <w:gridCol w:w="1516"/>
        <w:gridCol w:w="146"/>
        <w:gridCol w:w="135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$29.78 - $43.14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$6.00 - $18.25</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104.3% - 106.7%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93.7% - 97.5%</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3.71% - 4.24%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3.88% - 4.42%</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5.07 - 6.08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5.50 - 6.08</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Summary of option activity</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stock option activity regarding employees, directors, and nonemployees for the six months ended June 30, 2026, is summarized as follows (</w:t>
      </w:r>
      <w:r>
        <w:rPr>
          <w:rFonts w:ascii="Times New Roman" w:hAnsi="Times New Roman"/>
          <w:i/>
          <w:color w:val="000000"/>
          <w:sz w:val="20"/>
        </w:rPr>
        <w:t>in thousands except share and per share amounts</w:t>
      </w:r>
      <w:r>
        <w:rPr>
          <w:rFonts w:ascii="Times New Roman" w:hAnsi="Times New Roman"/>
          <w:color w:val="000000"/>
          <w:sz w:val="20"/>
        </w:rPr>
        <w:t>):</w:t>
      </w:r>
    </w:p>
    <w:p>
      <w:pPr>
        <w:pStyle w:val="TextBody"/>
        <w:bidi w:val="0"/>
        <w:jc w:val="left"/>
        <w:rPr/>
      </w:pPr>
      <w:r>
        <w:rPr/>
        <w:t> </w:t>
      </w:r>
    </w:p>
    <w:tbl>
      <w:tblPr>
        <w:tblW w:w="9485" w:type="dxa"/>
        <w:jc w:val="left"/>
        <w:tblInd w:w="0" w:type="dxa"/>
        <w:tblLayout w:type="fixed"/>
        <w:tblCellMar>
          <w:top w:w="28" w:type="dxa"/>
          <w:left w:w="28" w:type="dxa"/>
          <w:bottom w:w="28" w:type="dxa"/>
          <w:right w:w="28" w:type="dxa"/>
        </w:tblCellMar>
      </w:tblPr>
      <w:tblGrid>
        <w:gridCol w:w="4336"/>
        <w:gridCol w:w="146"/>
        <w:gridCol w:w="146"/>
        <w:gridCol w:w="931"/>
        <w:gridCol w:w="166"/>
        <w:gridCol w:w="146"/>
        <w:gridCol w:w="230"/>
        <w:gridCol w:w="626"/>
        <w:gridCol w:w="146"/>
        <w:gridCol w:w="146"/>
        <w:gridCol w:w="236"/>
        <w:gridCol w:w="755"/>
        <w:gridCol w:w="146"/>
        <w:gridCol w:w="146"/>
        <w:gridCol w:w="211"/>
        <w:gridCol w:w="78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Additional information with regard to stock option activity involving employees and directors for the six months ended June 30, 2026 and 2025, is as follows (</w:t>
      </w:r>
      <w:r>
        <w:rPr>
          <w:rFonts w:ascii="Times New Roman" w:hAnsi="Times New Roman"/>
          <w:i/>
          <w:color w:val="000000"/>
          <w:sz w:val="20"/>
        </w:rPr>
        <w:t>in thousands except per share amounts</w:t>
      </w:r>
      <w:r>
        <w:rPr>
          <w:rFonts w:ascii="Times New Roman" w:hAnsi="Times New Roman"/>
          <w:color w:val="000000"/>
          <w:sz w:val="20"/>
        </w:rPr>
        <w:t>):</w:t>
      </w:r>
    </w:p>
    <w:p>
      <w:pPr>
        <w:pStyle w:val="TextBody"/>
        <w:bidi w:val="0"/>
        <w:jc w:val="left"/>
        <w:rPr/>
      </w:pPr>
      <w:r>
        <w:rPr/>
        <w:t> </w:t>
      </w:r>
    </w:p>
    <w:tbl>
      <w:tblPr>
        <w:tblW w:w="8299" w:type="dxa"/>
        <w:jc w:val="left"/>
        <w:tblInd w:w="0" w:type="dxa"/>
        <w:tblLayout w:type="fixed"/>
        <w:tblCellMar>
          <w:top w:w="28" w:type="dxa"/>
          <w:left w:w="28" w:type="dxa"/>
          <w:bottom w:w="28" w:type="dxa"/>
          <w:right w:w="28" w:type="dxa"/>
        </w:tblCellMar>
      </w:tblPr>
      <w:tblGrid>
        <w:gridCol w:w="6106"/>
        <w:gridCol w:w="146"/>
        <w:gridCol w:w="211"/>
        <w:gridCol w:w="676"/>
        <w:gridCol w:w="146"/>
        <w:gridCol w:w="146"/>
        <w:gridCol w:w="211"/>
        <w:gridCol w:w="466"/>
        <w:gridCol w:w="19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grant date fair value per option of total 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intrinsic value of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total unrecognized compensation cost related to the unvested stock option awards to employees, directors, and nonemployees is $47.0 million, which is expected to be recognized over a weighted-average period of 3.0 years.</w:t>
      </w:r>
    </w:p>
    <w:p>
      <w:pPr>
        <w:pStyle w:val="TextBody"/>
        <w:bidi w:val="0"/>
        <w:spacing w:before="4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Summary of restricted stock unit activity</w:t>
      </w:r>
    </w:p>
    <w:p>
      <w:pPr>
        <w:pStyle w:val="TextBody"/>
        <w:bidi w:val="0"/>
        <w:spacing w:before="120" w:after="283"/>
        <w:jc w:val="left"/>
        <w:rPr>
          <w:rFonts w:ascii="Times New Roman" w:hAnsi="Times New Roman"/>
          <w:sz w:val="20"/>
        </w:rPr>
      </w:pPr>
      <w:r>
        <w:rPr>
          <w:rFonts w:ascii="Times New Roman" w:hAnsi="Times New Roman"/>
          <w:color w:val="000000"/>
          <w:sz w:val="20"/>
        </w:rPr>
        <w:t>The fair values of RSUs are based on the fair market value of the Company's common stock on the date of grant. Each RSU represents a contingent right to receive one share of the Company's common stock upon vesting. In general, RSUs vest in equal quarterly installments over four years from the grant date. The following table summarizes the Company's RSU activity for the six months ended June 30, 2026 (</w:t>
      </w:r>
      <w:r>
        <w:rPr>
          <w:rFonts w:ascii="Times New Roman" w:hAnsi="Times New Roman"/>
          <w:i/>
          <w:color w:val="000000"/>
          <w:sz w:val="20"/>
        </w:rPr>
        <w:t>in thousands except share and per share amounts</w:t>
      </w:r>
      <w:r>
        <w:rPr>
          <w:rFonts w:ascii="Times New Roman" w:hAnsi="Times New Roman"/>
          <w:color w:val="000000"/>
          <w:sz w:val="20"/>
        </w:rPr>
        <w:t>):</w:t>
      </w:r>
    </w:p>
    <w:p>
      <w:pPr>
        <w:pStyle w:val="TextBody"/>
        <w:bidi w:val="0"/>
        <w:spacing w:before="120" w:after="283"/>
        <w:jc w:val="left"/>
        <w:rPr/>
      </w:pPr>
      <w:r>
        <w:rPr/>
        <w:t> </w:t>
      </w:r>
    </w:p>
    <w:tbl>
      <w:tblPr>
        <w:tblW w:w="7052" w:type="dxa"/>
        <w:jc w:val="left"/>
        <w:tblInd w:w="0" w:type="dxa"/>
        <w:tblLayout w:type="fixed"/>
        <w:tblCellMar>
          <w:top w:w="28" w:type="dxa"/>
          <w:left w:w="28" w:type="dxa"/>
          <w:bottom w:w="28" w:type="dxa"/>
          <w:right w:w="28" w:type="dxa"/>
        </w:tblCellMar>
      </w:tblPr>
      <w:tblGrid>
        <w:gridCol w:w="3316"/>
        <w:gridCol w:w="146"/>
        <w:gridCol w:w="146"/>
        <w:gridCol w:w="781"/>
        <w:gridCol w:w="166"/>
        <w:gridCol w:w="146"/>
        <w:gridCol w:w="580"/>
        <w:gridCol w:w="1580"/>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total unrecognized stock compensation expense related to the unvested RSUs to employees is $6.5 million, which is expected to be recognized over a weighted average period of 3.6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During the three and six months ended June 30, 2026 and 2025, the Company recorded stock-based compensation expense regarding its employees, directors, and nonemployees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462" w:type="dxa"/>
        <w:jc w:val="left"/>
        <w:tblInd w:w="0" w:type="dxa"/>
        <w:tblLayout w:type="fixed"/>
        <w:tblCellMar>
          <w:top w:w="28" w:type="dxa"/>
          <w:left w:w="28" w:type="dxa"/>
          <w:bottom w:w="28" w:type="dxa"/>
          <w:right w:w="28" w:type="dxa"/>
        </w:tblCellMar>
      </w:tblPr>
      <w:tblGrid>
        <w:gridCol w:w="3016"/>
        <w:gridCol w:w="146"/>
        <w:gridCol w:w="211"/>
        <w:gridCol w:w="571"/>
        <w:gridCol w:w="146"/>
        <w:gridCol w:w="146"/>
        <w:gridCol w:w="211"/>
        <w:gridCol w:w="571"/>
        <w:gridCol w:w="146"/>
        <w:gridCol w:w="146"/>
        <w:gridCol w:w="211"/>
        <w:gridCol w:w="676"/>
        <w:gridCol w:w="146"/>
        <w:gridCol w:w="146"/>
        <w:gridCol w:w="211"/>
        <w:gridCol w:w="57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13.</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In the year ended December 31, 2025, the Company began contributing to the plan on behalf of its employees and made contributions of $0.1 million and $0.2 million to the plan in the three and six months ended June 30, 2026, respectively. In each of the three and six months ended June 30, 2025, the Company made contributions of $0.1 million to the plan.</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14.</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Net loss per share attributable to common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 used in computation</w:t>
              <w:br/>
              <w:t>   of 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47,696,363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33,446,385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47,139,378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33,429,479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potential dilutive securities, which include convertible preferred stock, restricted stock related to early exercise of common stock options, restricted stock related to unvested founder shares and outstanding common stock options,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potential dilutive securities included in the table below, presented on an as converted basis, were excluded from the calculation of net loss per share due to their anti-dilutive effect:</w:t>
      </w:r>
    </w:p>
    <w:p>
      <w:pPr>
        <w:pStyle w:val="TextBody"/>
        <w:bidi w:val="0"/>
        <w:jc w:val="left"/>
        <w:rPr/>
      </w:pPr>
      <w:r>
        <w:rPr/>
        <w:t> </w:t>
      </w:r>
    </w:p>
    <w:tbl>
      <w:tblPr>
        <w:tblW w:w="9249" w:type="dxa"/>
        <w:jc w:val="left"/>
        <w:tblInd w:w="0" w:type="dxa"/>
        <w:tblLayout w:type="fixed"/>
        <w:tblCellMar>
          <w:top w:w="28" w:type="dxa"/>
          <w:left w:w="28" w:type="dxa"/>
          <w:bottom w:w="28" w:type="dxa"/>
          <w:right w:w="28" w:type="dxa"/>
        </w:tblCellMar>
      </w:tblPr>
      <w:tblGrid>
        <w:gridCol w:w="6466"/>
        <w:gridCol w:w="146"/>
        <w:gridCol w:w="146"/>
        <w:gridCol w:w="931"/>
        <w:gridCol w:w="146"/>
        <w:gridCol w:w="146"/>
        <w:gridCol w:w="146"/>
        <w:gridCol w:w="931"/>
        <w:gridCol w:w="19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4,297,410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related to early exercise of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4,305,555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15.</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the Company entered into a consulting agreement with Steven Hoerter, the executive chair of the Company's board of directors, to provide additional strategic advisory services to the Company. Mr. Hoerter was no longer considered an independent director of the board per Nasdaq Listing Rules as of the effective date of the consulting agreement. In connection with the consulting agreement, Mr. Hoerter was awarded a grant of 74,249 nonqualified stock options and a grant of 11,938 restricted stock units. In July 2026, the Board appointed Mr. Hoerter to serve as the Company's President and Chief Executive Officer ("CEO") and principal executive officer of the Company, as further described in Note 17. The consulting agreement with Mr. Hoerter was terminated effective as of his appointment as President and CEO.</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16. </w:t>
      </w:r>
      <w:r>
        <w:rPr>
          <w:rFonts w:ascii="Times New Roman" w:hAnsi="Times New Roman"/>
          <w:b/>
          <w:caps/>
          <w:color w:val="000000"/>
          <w:sz w:val="20"/>
        </w:rPr>
        <w:t>SEGMENT INFORMATION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Company operates as a single reportable segment engaged in the discovery and development of novel precision peptide therapies for the treatment of endocrine and metabolic disorders. The Company's determination that it operates as a single segment is consistent with the nature of its operations and the financial information regularly reviewed by the chief executive officer, in his capacity as the chief operating decision maker (CODM), for the purposes of evaluating performance, allocating resources, setting incentive compensation targets, and planning and forecasting for future periods. The Company's purpose is to help people with endocrine and metabolic disorders live fuller and healthier lives. The Company's long-term success is significantly dependent on its ability to research and develop innovative medicines. The CODM uses net loss to assess performance of the Company, ensuring that it is investing in the research and development of product candidates. The CODM allocates research and development resources based upon several factors, including the likelihood of technical success, unmet medical needs, and the viability of commercial success.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significant component of the CODM’s decision-making process is to ensure a balanced investment in the research and development portfolio to drive near-term success and long-term sustainability.</w:t>
      </w:r>
    </w:p>
    <w:p>
      <w:pPr>
        <w:pStyle w:val="TextBody"/>
        <w:bidi w:val="0"/>
        <w:spacing w:before="0" w:after="240"/>
        <w:jc w:val="left"/>
        <w:rPr>
          <w:rFonts w:ascii="Times New Roman" w:hAnsi="Times New Roman"/>
          <w:sz w:val="20"/>
        </w:rPr>
      </w:pPr>
      <w:r>
        <w:rPr>
          <w:rFonts w:ascii="Times New Roman" w:hAnsi="Times New Roman"/>
          <w:color w:val="000000"/>
          <w:sz w:val="20"/>
        </w:rPr>
        <w:t>The following table summarizes our significant segment expenses and segment net loss for the three and six months ended June 30, 2026 and 2025 (</w:t>
      </w:r>
      <w:r>
        <w:rPr>
          <w:rFonts w:ascii="Times New Roman" w:hAnsi="Times New Roman"/>
          <w:i/>
          <w:color w:val="000000"/>
          <w:sz w:val="20"/>
        </w:rPr>
        <w:t>in thousands</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4462"/>
        <w:gridCol w:w="146"/>
        <w:gridCol w:w="268"/>
        <w:gridCol w:w="861"/>
        <w:gridCol w:w="185"/>
        <w:gridCol w:w="185"/>
        <w:gridCol w:w="268"/>
        <w:gridCol w:w="861"/>
        <w:gridCol w:w="146"/>
        <w:gridCol w:w="146"/>
        <w:gridCol w:w="253"/>
        <w:gridCol w:w="812"/>
        <w:gridCol w:w="175"/>
        <w:gridCol w:w="175"/>
        <w:gridCol w:w="253"/>
        <w:gridCol w:w="812"/>
        <w:gridCol w:w="197"/>
      </w:tblGrid>
      <w:tr>
        <w:trPr/>
        <w:tc>
          <w:tcPr>
            <w:tcW w:w="4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Canvuparatide direct program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MBX 4291 direct program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Imapextide direct program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other research and development direct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overhead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11,153</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60,612</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Other segment items are primarily comprised of general and administrative expenses and interest and other income.</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 SUBSEQUENT EVENTS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On July 9, 2026, the Company announced Kent P. Hawryluk's departure from his role as the Company's chief executive officer and a member of the Company's board of directors effective July 13, 2026. Mr. Hawryluk will assist the Board and the Company’s new CEO with the transition and will provide strategic advisory services through August 16, 2026 under the terms of a consulting agreement entered into with the Company that became effective upon Mr. Hawryluk’s separation from the Company. Mr. Hawryluk’s departure is not due to a dispute or disagreement with the Company or the Company’s auditors.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terms of Mr. Hawryluk's separation agreement, certain outstanding equity awards will continue to vest following termination and certain awards will be accelerated. Based on a preliminary assessment of the terms of the separation agreement, the Company expects to recognize stock-based compensation expense ranging from approximately $15 million to $20 million during the third quarter of 2026. The Company is continuing to evaluate the accounting implications of the terms of the separation agreement, and the ultimate amount recognized may differ materially from these preliminary estimates. No amounts associated with the separation agreement have been reflected in the accompanying financial statements because the termination occurred after June 30,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July 9, 2026, the Board appointed Steven Hoerter as President and CEO and principal executive officer of the Company, effective as of July 13,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July 9, 2026, the Board appointed John Smither as Chief Financial Officer and principal financial officer and principal accounting officer of the Company, effective as of July 13,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mda"/>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the related notes and other financial information included elsewhere in this Quarterly Report on Form 10-Q (this "Quarterly Report") and with our audited financial statements and the related notes for the year ended December 31, 2025 and the related Management's Discussion and Analysis of Financial Condition and Results of Operation, both of which are included in our Annual Report on Form 10-K filed with the Securities and Exchange Commission ("SEC") on March 12, 2026 (our "2025 Annual Report"). This discussion and other parts of this Quarterly Report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Quarterly Report. You should carefully read the "Risk Factors" section of this Quarterly Report to gain an understanding of the important factors that could cause actual results to differ materially from our forward-looking statements. Please also see "Special Note Regarding Forward-Looking Statements". Our historical results are not necessarily indicative of the results that may be expected for any period in the future.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clinical-stage biopharmaceutical company focused on the discovery, development and commercialization of novel precision peptide therapies for the treatment of endocrine and metabolic disorders. Our company was founded by global leaders with a transformative approach to peptide drug design and development. Leveraging this expertise, we designed our proprietary Precision Endocrine Peptide (the "PEP") platform to overcome the key limitations of unmodified and modified peptide therapies and to improve clinical outcomes and simplify disease management for patients. Our PEPs are selectively engineered to have optimized pharmaceutical properties, including extended time-action profiles and consistent drug concentrations with low peak-to-trough concentration ratios, consistent exposure to target tissues, and less frequent dosing. We are advancing a pipeline of novel candidates for endocrine and metabolic disorders with clinically validated targets, established endpoints for regulatory approval, significant unmet medical needs and large potential market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lead product candidate, canvuparatide (MBX 2109), is a parathyroid hormone peptide prodrug that is designed as a potential long-acting hormone replacement therapy for the treatment of chronic hypoparathyroidism. We completed an End of Phase 2 meeting with the U.S. Food and Drug Administration ("FDA") and Scientific Advice with the European Medicines Agency in the first quarter of 2026. In June 2026, we presented results from our Phase 2 clinical trial and reported one-year follow-up data from our ongoing open-label extension study during the Endocrine Society’s ENDO 2026 annual meeting. [We plan to initiate a Phase 3 clinical trial of canvuparatide in the third quarter of 2026]. Our lead obesity product candidate, MBX 4291, is designed to be a long-acting and highly potent glucagon-like peptide 1 ("GLP-1") / glucose-dependent insulinotropic polypeptide ("GIP") co-agonist prodrug with the goal of potential once-monthly dosing frequency and improved efficacy and tolerability relative to existing standards of care. We are conducting a randomized, double-blind, placebo controlled Phase 1 clinical trial designed to evaluate safety, tolerability, pharmacokinetics, and pharmacodynamics of SAD and MAD doses in adults with obesity. Results from the first cohort of the 12-week MAD portion of the Phase 1 clinical trial are expected in the fourth quarter of 2026. We have also announced the nomination of our two prodrug development candidates for the treatment of obesity, MBX 5765 and MBX 6180, each enabled by our PEP platform. MBX 5765 combines GLP-1, GIP, glucagon ("GCG") and dual amylin and calcitonin receptor agonists ("DACRA") activity in a single construct. MBX 6180 combines GLP-1, GIP and GCG receptor agonist activity in a single construct. We expect to present preclinical data from MBX 6180 at a scientific meeting in the fourth quarter of 2026. IND-enabling studies for both development candidates are ongoing. Our candidate imapextide (MBX 1416) was designed to be a long-acting GLP-1 receptor antagonist as a potential therapy for post-bariatric hypoglycemia, a chronic complication of bariatric surgery. In May 2026, we announced that once-weekly imapextide achieved proof of concept in PBH based on preliminary results from our Phase 2a STEADI trial. Given our growing number of novel peptide-based drug candidates and our expanding obesity pipeline, we will not be committing further investment toward a Phase 2b clinical trial of imapextide.</w:t>
      </w:r>
    </w:p>
    <w:p>
      <w:pPr>
        <w:pStyle w:val="TextBody"/>
        <w:bidi w:val="0"/>
        <w:spacing w:before="240" w:after="283"/>
        <w:jc w:val="left"/>
        <w:rPr>
          <w:rFonts w:ascii="Times New Roman" w:hAnsi="Times New Roman"/>
          <w:sz w:val="20"/>
        </w:rPr>
      </w:pPr>
      <w:r>
        <w:rPr>
          <w:rFonts w:ascii="Times New Roman" w:hAnsi="Times New Roman"/>
          <w:color w:val="000000"/>
          <w:sz w:val="20"/>
        </w:rPr>
        <w:t>Since our inception, we have devoted substantially all of our resources to drug discovery and development of our product candidates, canvuparatide, imapextide, MBX 4291 and other preclinical programs, building our intellectual property portfolio, organizing and staffing our company, business planning, raising capital and providing general and administrative support for these operations. We do not have any products approved for sale and have not generated any revenue from product sales. In September 2024, we completed our initial public offering (the "IPO"), pursuant to which we issued and sold 11,730,000 shares of common stock (inclusive of 1,530,000 shares of commons stock sold pursuant to the underwriters' exercise of their option to purchase additional shares). The aggregate net proceeds received by us from the IPO were $170.5 million, after deducting underwriting discounts and commissions and other offering costs of $17.2 million. In September 2025, we completed an underwritten public offering (the "September 2025 Offering") of 11,108,055 shares of our common stock, which generated approximately $187.4 million in aggregate net proceeds, after deducting underwriting discounts and commissions and other offering costs of $12.5 million. In February 2026, we sold 2,250,986 shares of our common stock under our Open Market Sale Agreement</w:t>
      </w:r>
      <w:r>
        <w:rPr>
          <w:rFonts w:ascii="Times New Roman" w:hAnsi="Times New Roman"/>
          <w:color w:val="000000"/>
          <w:sz w:val="13"/>
        </w:rPr>
        <w:t>SM</w:t>
      </w:r>
      <w:r>
        <w:rPr>
          <w:rFonts w:ascii="Times New Roman" w:hAnsi="Times New Roman"/>
          <w:color w:val="000000"/>
          <w:sz w:val="20"/>
        </w:rPr>
        <w:t xml:space="preserve"> with Jefferies, LLC (the "February 2026 ATM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Offering"), which generated approximately $87.1 million in aggregate gross proceeds. We have historically funded our operations primarily from the issuance and sale of our common stock, convertible preferred stock and convertible notes, which have generated approximately $688.8 million in cumulative, aggregate gross proceeds to date. In March 2026, we filed an automatic shelf registration statement with the Securities and Exchange Commission (File No. 333-294237) and increased the amount available under the Open Market Sales Agreement</w:t>
      </w:r>
      <w:r>
        <w:rPr>
          <w:rFonts w:ascii="Times New Roman" w:hAnsi="Times New Roman"/>
          <w:color w:val="000000"/>
          <w:sz w:val="13"/>
        </w:rPr>
        <w:t>SM</w:t>
      </w:r>
      <w:r>
        <w:rPr>
          <w:rFonts w:ascii="Times New Roman" w:hAnsi="Times New Roman"/>
          <w:color w:val="000000"/>
          <w:sz w:val="20"/>
        </w:rPr>
        <w:t xml:space="preserve"> with Jefferies, LLC (the "March 2026 Sales Agreement"), under which we may now, from time to time in one or more offerings, sell and issue shares of our common stock having an aggregate price of up to $250.0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since inception and we expect to continue to incur substantial losses for the foreseeable future. Our ability to generate revenue sufficient to achieve profitability will depend heavily on the successful development and eventual commercialization of one or more of our product candidates. Our net losses were $60.6 million and $43.3 million for the six months ended June 30, 2026 and 2025, respectively. We had an accumulated deficit of $285.1 million and $224.5 million as of June 30, 2026 and December 31,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expenses and operating losses will increase substantially for the foreseeable future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the development of our lead product candidates, canvuparatide, MBX 4291, MBX 5765 and MBX 6180,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our current research activities and further develop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preclinical development and discover and develop future product candidates we may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 for any product candidates for which we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either internally or through contract manufacturing organizations manufacturing capacity capabilities to supply our clinical trials in our pipeline and eventually for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transition from a company with a research focus to a company capable of supporting commercial activities, including establishing sales, marketing, and distribution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additional research and development, clinical, commercial, general and administrative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 against any claims by third parties that we have infringed, misappropriated or otherwise violated any intellectual property of any such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product candidates, intellectual property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confirm, maintain or obtain freedom to operate for any of our owned or licensed technologies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maintain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legal, audit, accounting, compliance, insurance, investor relations and other expenses to operate as a public company that we did not incur as a private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not generate revenue from product sales unless and until we successfully complete clinical development and obtain regulatory approval for one or more product candidates. If we obtain regulatory approval for any product candidate and do not enter into a commercialization partnership, we expect to incur significant expenses related to developing our commercialization capability to support product sales, manufacturing, marketing, and distribution. 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with third parties.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our platform or delay our pursuit of potential in-licenses or acquisitions.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had cash, cash equivalents and marketable securities of $418.6 million and $373.7 million as of June 30, 2026 and December 31, 2025, respectively. We believe our existing cash, cash equivalents and marketable securities will be sufficient to fund our operating expenses and capital expenditure requirements into 2029. We have based this estimate on assumptions that may prove to be wrong, and we could exhaust our available capital resources sooner than we expect. See “Liquidity and capital resources” herein and “Risk Factors—Risks related to financial position and need for capital” from Item 1A Risk Factors in our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the key terms for our license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Indiana University Research And Technology Corporation Exclusive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2020, we entered into an Exclusive License Agreement with Indiana University Research and Technology Corporation ("IURTC"), a non-profit corporation organized under the laws of the State of Indiana, represented by The Trustees of Indiana University ("IU"), pursuant to which we have been granted an exclusive, royalty-bearing license to certain IURTC patent rights ("the Licensed Intellectual Property") developed by Dr. DiMarchi and other collaborators to further scientific research, for new product development, and for other applications in public interest, such license, the IURTC License Agreement. In particular, we have been granted an exclusive, royalty-bearing license to make, have made, use, have used, offer to sell, have offered for sale, sell, have sold, import and have imported products that are covered by the Licensed Intellectual Property ("Licensed Products"), with the right to sublicense to third parties. IURTC and IU have retained the right to (i) practice and use the Licensed Intellectual Property for non-commercial educational, research, and patient care and treatment purposes, and (ii) permit other non-profit and academic entities to practice and use the Licensed Intellectual Property for the same non-commercial purposes. Under the IURTC License Agreement, we agreed to use commercially reasonable efforts to develop, promote and sell Licensed Products in accordance with the IURTC License Agreement and any applicable laws. The IURTC License Agreement leverages IURTC’s expertise in peptide therapies as well as our scientific, clinical, and regulatory capabilities to accelerate the development of peptide treatments for people with endocrine and metabolic disorders. Canvuparatide (MBX 2109), imapextide (MBX 1416), MBX 4291, MBX 5765 and MBX 6180 are Licensed Products under the IURTC License Agreement. Any future product candidates developed pursuant to our sponsored research agreement with IU or otherwise covered by the Licensed Intellectual Property may be subject to the IURTC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initial consideration for the license, we paid IURTC an immaterial issue fee. As additional consideration for the license, we are required to pay IURTC: (i) royalties with a rate based on net sales per calendar year; (ii) an annual maintenance fee of up to $0.1 million beginning in the first year in which the first commercial sale occurs; (iii) a mid-single digits percentage of any sublicensing revenue; and (iv) milestone payments in the event of successful achievement of specified development milestones up to an aggregate of $0.4 million. IURTC is also entitled to receive reimbursement for all patent prosecution and maintenance related expenses. Our tiered royalties are in the low single-digits on annual net sales of the Licensed Products. In the event that we are required to pay a non-affiliate third party consideration for intellectual property owned or controlled by such non-affiliate third party that we or a sublicensee licensed for the development of Licensed Products, we can deduct such amounts from the royalty payments up to a certain amount of the running royalties owed that year. The royalty term will terminate on a country-by-country basis as to each Licensed Product, until the expiration or termination of the last valid claim within the patent rights covering such Licensed Product in that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5, 2024, we and IURTC entered into a fourth amendment to the IURTC License Agreement (the "Fourth Amendment"). The Fourth Amendment specifies IURTC is entitled to the receipt of additional clinical and regulatory milestones, as defined in the Fourth Amendment, up to an aggregate of $9.0 million. Following the execution of the Fourth Amendment, future remaining clinical and regulatory milestone payments in the IURTC License Agreement and all amendments total up to $9.3 million. In 2025, we paid a $1.0 million milestone payment to IURTC related to the initiation of the Phase 1 clinical trial of MBX 4291. In the first quarter of 2026, we triggered a $0.1 million milestone payment to IURTC following the completion of the end of Phase 2 meeting with the FDA related to the Phase 2 clinical trial of canvuparatide, which was paid in the second quarter of 2026. As of June 30, 2026, future remaining clinical and regulatory milestone payments in the IURTC License Agreement and all amendments totaled up to $8.2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IURTC License Agreement will expire at the expiration of the last of the patent rights covered in the IURTC License Agreement, unless terminated earlier by mutual agreement or by one of the parties. We may terminate the IURTC License Agreement with or without cause upon ninety (90) days prior written notice to IURTC. IURTC may terminate the IURTC License Agreement if we commit a material breach of the IURTC License Agreement and fail to cure the breach within the respective cure period after receipt of the notice of material breach or upon our failure to undertake certain activities in furtherance of commercial development goals. Upon termination of the IURTC License Agreement, all rights granted by IURTC will terminate and automatically revert to IURTC.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(i) research and development expenses and (ii) general and administrative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largest component of our total operating expenses since our inception has been research and development activities. Research and development expenses are expensed as incurred and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research and development expenses incurred under agreements with contract research organizations ("CROs"), consultants and other third parties to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manufacturing our product candidates for preclinical studies and clinical trials, including agreements with contract development and manufacturing organizations ("CDMOs");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fees, including any milestone-based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and benefits, including stock-based compensation expense, for research and development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research and development supplies and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process development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regulatory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incurred in development of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outside services and consulting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allocated portion of facilities and other infrastructure costs associated with our 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research and development expenses to increase substantially for the foreseeable future as we continue to invest in research and development activities to advance our programs and conduct clinical trials. The process of conducting the necessary clinical research to obtain regulatory approval is costly and time-consuming, and the successful development of our product candidates is highly uncertain. As a result, expenses may vary significantly based on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research and development, preclinical and clinical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scope and duration of clinical trials required for regulatory approval of our existing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any of our existing or future product candidates by the FDA and comparable foreign regulatory authorities, including the potential for such authorities to require that we perform more preclinical studies or clinical trials than those that we currently expect or for such authorities to change their requirements on studies that had previously been agreed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manufacturing clinical and commercial supplies of our existing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implementation of various computerized informational systems and efforts to enhance operational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to attract, hire and retain skilled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subject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included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our clinical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length of time required to enroll subjects and initiate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subjects that participate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drop-out and discontinuation rate of subjects;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safety monitoring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of subject participation in our clinical trials and follow-up, including the duration of open label extensions;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license agreement milestone payments related to development, regulatory and commercial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success with patient materials;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mitigation/responses to potential health authority questions and/or inspections;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to which we obtain, maintain, defend and enforce our intellectual property rights;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establish collaboration, licensing or similar arrangements and the performance of any related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any of our existing or future product candidates could significantly change the costs and timing associated with the development of that product candidate.</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compensation and benefits, including stock-based compensation expense for general and administrative personnel; other expenses for outside professional services, including legal fees relating to intellectual property and corporate matters; professional fees for accounting, auditing, consulting and tax services; insurance costs; administrative travel expenses; website development costs; marketing and public relations costs; and facilities, information technology and other allocated overhead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in the future as we increase our headcount to support continued growth of our research and development activities. We also anticipate that we will incur increased accounting, audit, legal, regulatory, compliance and director and officer insurance costs as well as investor and public relations expenses associated with being a public company. We also expect our intellectual property expenses to increase as we expand our intellectual property portfolio.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36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is comprised of interest income earned on our cash and cash equivalents and marketable securities and amortization expense and accretion income on our marketable securities.</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(in thousands): </w:t>
      </w:r>
    </w:p>
    <w:p>
      <w:pPr>
        <w:pStyle w:val="TextBody"/>
        <w:bidi w:val="0"/>
        <w:jc w:val="left"/>
        <w:rPr/>
      </w:pPr>
      <w:r>
        <w:rPr/>
        <w:t> </w:t>
      </w:r>
    </w:p>
    <w:tbl>
      <w:tblPr>
        <w:tblW w:w="6936" w:type="dxa"/>
        <w:jc w:val="left"/>
        <w:tblInd w:w="0" w:type="dxa"/>
        <w:tblLayout w:type="fixed"/>
        <w:tblCellMar>
          <w:top w:w="28" w:type="dxa"/>
          <w:left w:w="28" w:type="dxa"/>
          <w:bottom w:w="28" w:type="dxa"/>
          <w:right w:w="28" w:type="dxa"/>
        </w:tblCellMar>
      </w:tblPr>
      <w:tblGrid>
        <w:gridCol w:w="2721"/>
        <w:gridCol w:w="146"/>
        <w:gridCol w:w="212"/>
        <w:gridCol w:w="741"/>
        <w:gridCol w:w="167"/>
        <w:gridCol w:w="146"/>
        <w:gridCol w:w="212"/>
        <w:gridCol w:w="741"/>
        <w:gridCol w:w="166"/>
        <w:gridCol w:w="146"/>
        <w:gridCol w:w="211"/>
        <w:gridCol w:w="736"/>
        <w:gridCol w:w="5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periods indicated (in thousands): </w:t>
      </w:r>
    </w:p>
    <w:p>
      <w:pPr>
        <w:pStyle w:val="TextBody"/>
        <w:bidi w:val="0"/>
        <w:jc w:val="left"/>
        <w:rPr/>
      </w:pPr>
      <w:r>
        <w:rPr/>
        <w:t> </w:t>
      </w:r>
    </w:p>
    <w:tbl>
      <w:tblPr>
        <w:tblW w:w="8868" w:type="dxa"/>
        <w:jc w:val="left"/>
        <w:tblInd w:w="0" w:type="dxa"/>
        <w:tblLayout w:type="fixed"/>
        <w:tblCellMar>
          <w:top w:w="28" w:type="dxa"/>
          <w:left w:w="28" w:type="dxa"/>
          <w:bottom w:w="28" w:type="dxa"/>
          <w:right w:w="28" w:type="dxa"/>
        </w:tblCellMar>
      </w:tblPr>
      <w:tblGrid>
        <w:gridCol w:w="5116"/>
        <w:gridCol w:w="146"/>
        <w:gridCol w:w="226"/>
        <w:gridCol w:w="726"/>
        <w:gridCol w:w="156"/>
        <w:gridCol w:w="156"/>
        <w:gridCol w:w="226"/>
        <w:gridCol w:w="726"/>
        <w:gridCol w:w="146"/>
        <w:gridCol w:w="146"/>
        <w:gridCol w:w="211"/>
        <w:gridCol w:w="676"/>
        <w:gridCol w:w="21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Canvuparatide (MBX 2109)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MBX 4291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Imapextide (MBX 1416)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 costs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30,985</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Research and development expenses were $31.0 million for the three months ended June 30, 2026, as compared to $17.7 million for the three months ended June 30, 2025. The increase of $13.3 million consisted of the following: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 research and development program expenses related to canvuparatide increased by $5.0 million, primarily due to clinical start-up activity for the Phase 3 clinical trial, clinical supply manufacturing to support the Phase 3 clinical trial and the ongoing Phase 2 open-label extension clinical trial. Direct program expenses for MBX 4291 increased by $4.5 million primarily due to ongoing conduct of the Phase 1 clinical trial. Direct program expenses for imapextide and preclinical and other programs remained relatively unchanged. Personnel-related costs (including stock-based compensation) increased by $3.4 million, primarily due to increased headcount and stock-based compensation expense. Facility-related and other expenses, which include allocated overhead, including rent, repairs and maintenance costs, common facilities and information technology-related expenses allocated to research and development increased by $0.4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$9.9 million for the three months ended June 30, 2026, as compared to $4.1 million for the three months ended June 30, 2025. The increase of $5.9 million was primarily due to higher personnel-related costs (including stock-based compensation) resulting from continued expansion of both our executive leadership team and general infrastructure to support growth in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which includes interest income and amortization of premiums and discounts on our investments in marketable securities, were $3.8 million for the three months ended June 30, 2026, as compared to $2.4 million for the three months ended June 30, 2025. The increase of $1.4 million was due to increased interest on our cash, cash equivalents and marketable securities, which increased primarily due to the September 2025 Offering and the February 2026 ATM Offering.</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(in thousands): </w:t>
      </w:r>
    </w:p>
    <w:tbl>
      <w:tblPr>
        <w:tblW w:w="6923" w:type="dxa"/>
        <w:jc w:val="left"/>
        <w:tblInd w:w="0" w:type="dxa"/>
        <w:tblLayout w:type="fixed"/>
        <w:tblCellMar>
          <w:top w:w="28" w:type="dxa"/>
          <w:left w:w="28" w:type="dxa"/>
          <w:bottom w:w="28" w:type="dxa"/>
          <w:right w:w="28" w:type="dxa"/>
        </w:tblCellMar>
      </w:tblPr>
      <w:tblGrid>
        <w:gridCol w:w="2721"/>
        <w:gridCol w:w="146"/>
        <w:gridCol w:w="211"/>
        <w:gridCol w:w="736"/>
        <w:gridCol w:w="166"/>
        <w:gridCol w:w="146"/>
        <w:gridCol w:w="211"/>
        <w:gridCol w:w="736"/>
        <w:gridCol w:w="166"/>
        <w:gridCol w:w="146"/>
        <w:gridCol w:w="211"/>
        <w:gridCol w:w="736"/>
        <w:gridCol w:w="5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periods indicated (in thousands): </w:t>
      </w:r>
    </w:p>
    <w:p>
      <w:pPr>
        <w:pStyle w:val="TextBody"/>
        <w:bidi w:val="0"/>
        <w:jc w:val="left"/>
        <w:rPr/>
      </w:pPr>
      <w:r>
        <w:rPr/>
        <w:t> </w:t>
      </w:r>
    </w:p>
    <w:tbl>
      <w:tblPr>
        <w:tblW w:w="8613" w:type="dxa"/>
        <w:jc w:val="left"/>
        <w:tblInd w:w="0" w:type="dxa"/>
        <w:tblLayout w:type="fixed"/>
        <w:tblCellMar>
          <w:top w:w="28" w:type="dxa"/>
          <w:left w:w="28" w:type="dxa"/>
          <w:bottom w:w="28" w:type="dxa"/>
          <w:right w:w="28" w:type="dxa"/>
        </w:tblCellMar>
      </w:tblPr>
      <w:tblGrid>
        <w:gridCol w:w="5116"/>
        <w:gridCol w:w="146"/>
        <w:gridCol w:w="211"/>
        <w:gridCol w:w="676"/>
        <w:gridCol w:w="146"/>
        <w:gridCol w:w="146"/>
        <w:gridCol w:w="211"/>
        <w:gridCol w:w="676"/>
        <w:gridCol w:w="146"/>
        <w:gridCol w:w="146"/>
        <w:gridCol w:w="211"/>
        <w:gridCol w:w="571"/>
        <w:gridCol w:w="21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Canvuparatide (MBX 2109)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MBX 4291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Imapextide (MBX 1416)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 costs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Research and development expenses were $49.5 million for the six months ended June 30, 2026 as compared to $40.1 million for the six months ended June 30, 2025. The increase of $9.3 million consisted of the following: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 research and development program expenses related to canvuparatide increased by $4.8 million, primarily due to clinical start-up activity for the Phase 3 clinical trial, manufacturing to support the Phase 3 clinical trial and the ongoing Phase 2 open-label extension clinical trial. Direct program expenses for MBX 4291 increased by $0.7 million primarily due to ongoing conduct of the Phase 1 clinical trial, offset by a decrease in manufacturing costs and preclinical study related expense incurred in the first half of 2025. Direct program expenses for imapextide decreased by $0.8 million primarily due to the Phase 2a STEADI clinical trial completing at the beginning of the second quarter of 2026 and the decision to commit no further investment to the program. Direct program expenses for preclinical and other programs remained relatively unchanged. Personnel-related costs (including stock-based compensation) increased by $5.1 million, primarily due to increased headcount and stock-based compensation expense. Facility-related and other expenses, which include allocated overhead, including rent, repairs and maintenance costs, common facilities and information technology-related expenses allocated to research and development decreased by $0.4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$18.7 million for the six months ended June 30, 2026, as compared to $8.2 million for the six months ended June 30, 2025. The increase of $10.5 million was primarily due to higher personnel-related costs (including stock-based compensation) resulting from continued expansion of both our executive leadership team and general infrastructure to support growth in our operations and separation related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net, which includes interest income and amortization of premiums and discounts on our investments in marketable securities, were $7.6 million for the six months ended June 30, 2026, as compared to $5.0 million for the six months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ended June 30, 2025. The increase of $2.5 million was due to increased interest on our cash, cash equivalents and marketable securities, which increased primarily due to the September 2025 Offering and the February 2026 ATM Offering.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We have historically funded our operations primarily through our IPO, the September 2025 Offering, the February 2026 ATM Offering, and sales of our convertible preferred stock and convertible notes, which have generated approximately $688.8 million in cumulative, aggregate gross proceeds. As of June 30, 2026 and December 31, 2025, we had $418.6 million and $373.7 million in cash, cash equivalents and marketable securities, respectively. We have not yet generated any revenue from product sales and do not expect to in the foreseeable future as our product candidates are in various phases of clinical and preclinical development.</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substantially in connection with our ongoing activities, particularly as we advance the development of our product candidates. In addition, we expect to incur additional costs associated with operating as a public company. The timing and amount of our operating expenditures will depend largely 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research and development, preclinical and clinical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scope and duration of clinical trials required for regulatory approval of our existing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any of our existing or future product candidates by the FDA and comparable foreign regulatory authorities, including the potential for such authorities to require that we perform more preclinical studies or clinical trials than those that we currently expect or for such authorities to change their requirements on studies that had previously been agreed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manufacturing clinical and commercial supplies of our existing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of our existing or future product candidates for which we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filing and prosecuting our patent applications, and maintaining and enforcing our patents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liability or other lawsuits related to our existing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implementation of various computerized informational systems and efforts to enhance operational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to attract, hire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and government payers;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invest in businesses,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other factors, including inflation, economic uncertainty and geopolitical tensions, which may exacerbate the magnitude of the factors discussed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had $418.6 million and $373.7 million in cash, cash equivalents and marketable securities as of June 30, 2026 and December 31, 2025, respectively. We believe that our existing cash, cash equivalents and marketable securities will be sufficient to fund our current operating plan for at least the next 12 months from the date of issuance of the accompanying unaudited condensed financial statements. Based on our current operating plan, we estimate that our existing cash, cash equivalents and marketable securities will be sufficient to fund our projected operating expenses and capital expenditure requirements into 2029. We have based this estimate on assumptions that may prove to be wrong, and we could exhaust our available capital resources sooner than we expect.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cash needs through a combination of equity offerings, debt financings, collaborations, strategic alliances, and marketing, distribution or licensing arrangements with third parties. To the extent that we raise additional capital through the sale of equity or convertible debt securities, ownership interest for existing investors may be materially diluted, and the terms of such securities could include liquidation or other preferences that adversely affect existing investors’ rights as a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the periods presented (in thousands): </w:t>
      </w:r>
    </w:p>
    <w:p>
      <w:pPr>
        <w:pStyle w:val="TextBody"/>
        <w:bidi w:val="0"/>
        <w:jc w:val="left"/>
        <w:rPr/>
      </w:pPr>
      <w:r>
        <w:rPr/>
        <w:t> </w:t>
      </w:r>
    </w:p>
    <w:tbl>
      <w:tblPr>
        <w:tblW w:w="6764"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736"/>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2026 was $42.8 million. This was primarily due to our net loss of $60.6 million, partially offset by non-cash charges of $10.8 million. Non-cash charges primarily consisted of $11.5 million of stock-based compensation expense, $0.1 million of depreciation expense related to our property and equipment and $0.1 million of amortization expense related to our right-of-use assets, partially offset by $1.0 million of net amortization and accretion of marketable securities. The changes in our net operating assets and liabilities primarily consisted of a $7.1 million increase in accounts payable and accrued expenses primarily related to balances with CROs and CDMOs, a $0.5 million decrease in our prepaid expenses and other current assets related to prepaid balances with CROs and CDMOs, and a net increase of $0.3 million related to our operating lease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2025 was $40.1 million. This was primarily due to our net loss of $43.3 million, partially offset by net cash provided by changes in our operating assets and liabilities of $1.6 million and non-cash charges of $1.7 million. The changes in our net operating assets and liabilities primarily consisted of a $0.9 million increase in our prepaid expenses and other current assets related to prepaid balances with CROs, a $0.8 million increase in accounts payable and accrued expenses primarily related to balances with CROs. Non-cash charges primarily consisted of $3.8 million of stock-based compensation expense, $0.1 million of depreciation expense related to our property and equipment and $0.1 million of amortization expense related to our right-of-use asset, partially offset by $2.3 million of net amortization and accretion of marketable securities.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 from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2026 was $67.9 million, which consisted of purchases of marketable securities of $208.0 million and purchases of property and equipment of $1.3 million, partially offset by maturities of marketable securities of $141.5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2025 was $29.2 million, which consisted of maturities of marketable securities of $130.3 million and redemptions of marketable securities of $6.0 million, partially offset by purchases of marketable securities of $106.3 million and purchases of property and equipment of $0.8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 from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six months ended June 30, 2026 was $89.8 million, which consisted of proceeds of $85.4 million from the February 2026 ATM Offering, net of underwriting discounts and commissions, $4.6 million of proceeds from the exercise of common stock options, and $0.3 million of proceeds from the purchase of shares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2026 ESPP, partially offset by payments totaling $0.5 million related to offering costs for the February 2026 ATM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2025 was $1.3 million, which consisted of proceeds from the exercise of common stock options.</w:t>
      </w:r>
    </w:p>
    <w:p>
      <w:pPr>
        <w:pStyle w:val="TextBody"/>
        <w:bidi w:val="0"/>
        <w:spacing w:before="360" w:after="283"/>
        <w:jc w:val="left"/>
        <w:rPr>
          <w:rFonts w:ascii="Times New Roman" w:hAnsi="Times New Roman"/>
          <w:sz w:val="20"/>
        </w:rPr>
      </w:pPr>
      <w:r>
        <w:rPr>
          <w:rFonts w:ascii="Times New Roman" w:hAnsi="Times New Roman"/>
          <w:b/>
          <w:i/>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entered into two separate lease agreements for corporate office space and laboratory space, with terms extending through December 2028 and December 2025, respectively. The lease for our corporate office space was amended in May 2025 as further discussed in Note 9 to our interim unaudited condensed financial statements included elsewhere in this Quarterly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on February 24, 2026, we entered into an operating lease agreement with 5 Burlington Woods, LLC to lease new office and laboratory space in Burlington, Massachusetts ("Burlington Lease"). The lease commenced effective April 14, 2026, with the rent commencing five months from the lease commencement date, which will be September 14, 2026 ("rent commencement date"). The lease term is four years from the rent commencement date, with a one-time option to extend the lease term for a period of three years. The option to extend was not considered reasonably certain as of the lease inception. The aggregate base rent over the four-year lease term is approximately $3.4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our future remaining operating lease payments were $4.0 million, with $0.9 million payable within the next twelve months, with respect to leases already commenced as of such date. As of December 31, 2025, our future remaining operating lease payments were $0.7 million, with $0.2 million payable within the next twelve months, with respect to leases already commenced as of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to Note 9 in our interim unaudited condensed financial statements included elsewhere in this Quarterly Report for more information on our lease obligations.</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 and other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IURTC License Agreement, we have payment obligations that are contingent upon future events, such as the achievement of specified development, regulatory and commercial milestones, and in some cases, we are required to make royalty payments in connection with the sales of products developed under those agreements. Although we could be required to make additional future milestone payments under the IURTC License Agreement, we are unable to estimate the timing or likelihood of achieving the milestones or making future product sales. For additional details regarding the IURTC License Agreement and related obligations, refer to Note 9 in our interim unaudited condensed financial statements included elsewhere in this Quarterly Report, and see the section herein titled “License agreement” included in our 2025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 into contracts in the normal course of business with clinical trial sites and clinical supply manufacturers and with vendors for preclinical studies and clinical trials, research supplies and other services and drugs for operating purposes. These contracts generally provide for termination after a notice period, and, therefore, are cancelable contracts. In addition, certain of our supply agreements contain minimum purchase commitments in certain situations, the timing and likelihood of which we cannot estimate at this time.</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description of recently issued accounting pronouncements that may potentially impact our financial position, results of operations or cash flows is disclosed in Note 2 to our unaudited condensed financial statements included elsewhere in this Quarterly Report.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financial statements, which have been prepared in accordance with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an ongoing basis, we evaluate our estimates and judgments, including but not limited to those related to accrued research and development costs, the fair value of common stock and stock-based compensation expense and other fair value measurements.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there were no material changes to our critical accounting policies and estimates described under Management’s Discussion and Analysis of Critical Accounting Policies and Estimates which are included in our 2025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periods presented we did not have, nor do we currently have, any off-balance sheet arrangements as defined in the rules and regulations of the SEC.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qualify as an “emerging growth company,” as defined in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 financial statements, with correspondingly reduced “Management’s discussion and analysis of financial condition and results of operations” disclosure in this Quarterly Report;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Quarterly Report.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audited financial statements and unaudited condensed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in the Securities Exchange Act of 1934, as amended, or the Exchange Act. As a result, we may take advantage of certain of the scaled disclosures available to smaller reporting companies. These include, but are not limited to, reduced disclosure obligations regarding executive compensation and an exemption from the requirement to provide a compensation discussion and analysis describing compensation practices and procedures. As a smaller reporting company with annual revenues of less than $100.0 million and a non-accelerated filer, we are also not required to provide an attestation report on internal control over financial reporting issued by our independent registered public accounting firm. We will be able to take advantage of these scaled disclosures and exemptions for so long as (i) our voting and non-voting shares held by non-affiliates is less than $250.0 million measured on the last business day of our most recent second fiscal quarter or (ii) our annual revenue is less than $100.0 million during the most recently completed fiscal year and our voting and non-voting shares held by non-affiliates is less than $700.0 million measured on the last business day of our most recent second fiscal quarter.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aggregate market value of our common shares held by non-affiliates exceeded $700.0 million. We may continue to take advantage of certain reduced disclosures available to smaller reporting companies through the filing of our Annual Report on Form 10-K for the year ending December 31, 2026 and we will not be required to provide an attestation report on internal control over financial reporting issued by our independent registered public accounting firm until the filing of our Annual Report on Form 10-K for the year ending December 31, 2027.</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3_quantitative_and_qualitative_dis"/>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as amended (the “Exchange Act”), and are not required to provide the information required by this Item.</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Management's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of June 30, 2026. The term "disclosure controls and procedures," as defined in Rules 13a-15(e) and 15d-15(e) under the Exchange Act, mean controls and other procedures of a company that are designed to ensure that information required to be disclosed by us in the reports that we file or submit under the Securities Exchange Act of 1934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level.</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We are not currently a party to any litigation or legal proceedings that, in the opinion of our management, are probable to have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There have been no material changes to our risk factors previously disclosed in Part I, Item 1A, “Risk Factors” in our 2025 Annual Report. Our business involves significant risks. Stockholders should carefully consider the risks and uncertainties described in our 2025 Annual Report together with all of the other information contained in this Quarterly Report on Form 10-Q (this "Quarterly Report") and in the other documents that we file with the SEC, including our unaudited condensed financial statements and related notes appearing in this Quarterly Report, before deciding to invest in our common stock. If any of the events or developments described were to occur, our business, prospects, operating results and financial condition could suffer materially, the trading price of our common stock could decline and you could lose all or part of your investment. The risks and uncertainties described are not the only ones we face. Additional risks and uncertainties not presently known to us or that we currently believe to be immaterial may also adversely affect our business.</w:t>
      </w:r>
    </w:p>
    <w:p>
      <w:pPr>
        <w:pStyle w:val="TextBody"/>
        <w:bidi w:val="0"/>
        <w:jc w:val="left"/>
        <w:rPr/>
      </w:pPr>
      <w:r>
        <w:rPr/>
        <w:t> </w:t>
      </w:r>
    </w:p>
    <w:p>
      <w:pPr>
        <w:pStyle w:val="TextBody"/>
        <w:bidi w:val="0"/>
        <w:spacing w:before="360" w:after="283"/>
        <w:jc w:val="left"/>
        <w:rPr>
          <w:rFonts w:ascii="Times New Roman" w:hAnsi="Times New Roman"/>
          <w:sz w:val="20"/>
        </w:rPr>
      </w:pPr>
      <w:bookmarkStart w:id="15" w:name="item_2_unregistered_sales_of_equity_sec"/>
      <w:bookmarkEnd w:id="15"/>
      <w:r>
        <w:rPr>
          <w:rFonts w:ascii="Times New Roman" w:hAnsi="Times New Roman"/>
          <w:b/>
          <w:color w:val="000000"/>
          <w:sz w:val="20"/>
        </w:rPr>
        <w:t>Item 2. Unregistered Sales of Equity Securities, Use of Proceeds</w:t>
      </w:r>
      <w:r>
        <w:rPr>
          <w:rFonts w:ascii="Times New Roman" w:hAnsi="Times New Roman"/>
          <w:color w:val="000000"/>
          <w:sz w:val="20"/>
        </w:rPr>
        <w:t xml:space="preserve"> </w:t>
      </w:r>
      <w:r>
        <w:rPr>
          <w:rFonts w:ascii="Times New Roman" w:hAnsi="Times New Roman"/>
          <w:b/>
          <w:color w:val="000000"/>
          <w:sz w:val="20"/>
        </w:rPr>
        <w:t>and Issuer Purchases of Equity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Recent Sales of Unregistered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r>
        <w:rPr>
          <w:rFonts w:ascii="Times New Roman" w:hAnsi="Times New Roman"/>
          <w:b/>
          <w:i/>
          <w:color w:val="000000"/>
          <w:sz w:val="20"/>
        </w:rPr>
        <w:t>(b) Use of Proceeds from Initial Public Offering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12, 2024, our Registration Statement on Form S-1 (No. 333-281764) for our initial public offering (the "IPO") was declared effective by the SEC. Refer to the disclosure in our Quarterly Report on Form 10-Q for the quarter ended September 30, 2024, filed on November 7, 2024, which disclosure remains unchanged as of the date of this Quarterly Report.</w:t>
      </w:r>
    </w:p>
    <w:p>
      <w:pPr>
        <w:pStyle w:val="TextBody"/>
        <w:bidi w:val="0"/>
        <w:spacing w:before="360" w:after="283"/>
        <w:jc w:val="left"/>
        <w:rPr>
          <w:rFonts w:ascii="Times New Roman" w:hAnsi="Times New Roman"/>
          <w:sz w:val="20"/>
        </w:rPr>
      </w:pPr>
      <w:r>
        <w:rPr>
          <w:rFonts w:ascii="Times New Roman" w:hAnsi="Times New Roman"/>
          <w:b/>
          <w:i/>
          <w:color w:val="000000"/>
          <w:sz w:val="20"/>
        </w:rPr>
        <w:t>(c) Issuer Repurchases of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During the three months ended June 30, 2026, none of our directors or “officers,” as defined in Rule 16a-1(f) under the Securities Exchange Act of 1934, adopted or terminated a Rule 10b5-1 trading plan or arrangement or a non-Rule 10b5-1 trading plan or arrangement, as defined in Item 408(c)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3"/>
        <w:gridCol w:w="146"/>
        <w:gridCol w:w="9266"/>
      </w:tblGrid>
      <w:tr>
        <w:trPr/>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6" w:type="dxa"/>
            <w:tcBorders/>
            <w:vAlign w:val="center"/>
          </w:tcPr>
          <w:p>
            <w:pPr>
              <w:pStyle w:val="TableContents"/>
              <w:bidi w:val="0"/>
              <w:spacing w:before="0" w:after="283"/>
              <w:jc w:val="left"/>
              <w:rPr>
                <w:sz w:val="4"/>
                <w:szCs w:val="4"/>
              </w:rPr>
            </w:pPr>
            <w:r>
              <w:rPr>
                <w:sz w:val="4"/>
                <w:szCs w:val="4"/>
              </w:rPr>
            </w:r>
          </w:p>
        </w:tc>
      </w:tr>
      <w:tr>
        <w:trPr/>
        <w:tc>
          <w:tcPr>
            <w:tcW w:w="79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Fourth Amended and Restated Certificate of Incorporation of MBX Biosciences, Inc. (as currently in effect) (incorporated by reference to Exhibit 3.1 to the Registrant’s Current Report on Form 8-K (File No. 001-42272) filed with the SEC on September 16, 2024).</w:t>
              </w:r>
            </w:hyperlink>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MBX Biosciences, Inc. (as currently in effect) (incorporated by reference to Exhibit 3.2 to the Registrant’s Current Report on Form 8-K (File No. 001-42272) filed with the SEC on September 16, 2024).</w:t>
              </w:r>
            </w:hyperlink>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Investors’ Rights Agreement among the Registrant and certain of its stockholders, dated August 2, 2024) (incorporated by reference to Exhibit 4.1 to the Registrant’s Registration Statement on Form S-1 (File No. 333-281764) filed with the SEC on September 9, 2024).</w:t>
              </w:r>
            </w:hyperlink>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Common Stock Certificate (incorporated by reference to Exhibit 4.2 to the Registrant’s Registration Statement on Form S-1 (File No. 333-281764) filed with the SEC on September 9, 2024).</w:t>
              </w:r>
            </w:hyperlink>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Consulting Agreement between MBX Biosciences, Inc. and Steven L. Hoerter dated May 1, 2026 (incorporated by reference to Exhibit 10.1 to the Registrant's Quarterly Report on Form 10-Q filed with the SEC on May 7, 2026).</w:t>
              </w:r>
            </w:hyperlink>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Non-Employee Director Compensation Policy, as amended (incorporated by reference to Exhibit 10.2 to the Registrant's Quarterly Report on Form 10-Q filed with the SEC on May 7, 2026).</w:t>
              </w:r>
            </w:hyperlink>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b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b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bx-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asterisks) will be omitted in accordance with the rules of the SEC because the Registrant has determined that information is both not material and is the type that the registrant treats as private or confidential.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exhibits and schedules to these agreements have been omitted pursuant to Item 601(a)(5) and (6) of Regulation S-K. The registrant will furnish copies of any of the exhibits and schedules to the SEC upon request.</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507" w:type="dxa"/>
        <w:jc w:val="left"/>
        <w:tblInd w:w="0" w:type="dxa"/>
        <w:tblLayout w:type="fixed"/>
        <w:tblCellMar>
          <w:top w:w="28" w:type="dxa"/>
          <w:left w:w="28" w:type="dxa"/>
          <w:bottom w:w="28" w:type="dxa"/>
          <w:right w:w="28" w:type="dxa"/>
        </w:tblCellMar>
      </w:tblPr>
      <w:tblGrid>
        <w:gridCol w:w="1846"/>
        <w:gridCol w:w="109"/>
        <w:gridCol w:w="406"/>
        <w:gridCol w:w="51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MBX Biosciences,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Steven L. Hoerter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L. Hoerter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Smither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Smither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mbx-ex31_1.htm"/>
      <w:bookmarkStart w:id="22" w:name="ksmbx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Steven L. Hoerter,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for the Quarterly Period Ended June 30, 2026 of MBX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L. Hoerter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L. Hoerter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mbx-ex31_2.htm"/>
      <w:bookmarkStart w:id="24" w:name="ksmbx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Smither,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for the Quarterly Period Ended June 30, 2026 of MBX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822" w:type="dxa"/>
        <w:jc w:val="left"/>
        <w:tblInd w:w="0" w:type="dxa"/>
        <w:tblLayout w:type="fixed"/>
        <w:tblCellMar>
          <w:top w:w="28" w:type="dxa"/>
          <w:left w:w="28" w:type="dxa"/>
          <w:bottom w:w="28" w:type="dxa"/>
          <w:right w:w="28" w:type="dxa"/>
        </w:tblCellMar>
      </w:tblPr>
      <w:tblGrid>
        <w:gridCol w:w="1846"/>
        <w:gridCol w:w="109"/>
        <w:gridCol w:w="406"/>
        <w:gridCol w:w="546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6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Smither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Smither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b/>
                <w:color w:val="000000"/>
                <w:sz w:val="20"/>
              </w:rPr>
              <w:t>(Principal Financial Officer and Principal Accounting Officer)</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mbx-ex32_1.htm"/>
      <w:bookmarkStart w:id="26" w:name="ksmbx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MBX Biosciences,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L. Hoerter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L. Hoerter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tbl>
      <w:tblPr>
        <w:tblW w:w="7814" w:type="dxa"/>
        <w:jc w:val="left"/>
        <w:tblInd w:w="0" w:type="dxa"/>
        <w:tblLayout w:type="fixed"/>
        <w:tblCellMar>
          <w:top w:w="28" w:type="dxa"/>
          <w:left w:w="28" w:type="dxa"/>
          <w:bottom w:w="28" w:type="dxa"/>
          <w:right w:w="28" w:type="dxa"/>
        </w:tblCellMar>
      </w:tblPr>
      <w:tblGrid>
        <w:gridCol w:w="1846"/>
        <w:gridCol w:w="146"/>
        <w:gridCol w:w="406"/>
        <w:gridCol w:w="5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Smither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Smither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6111/000119312524219621/d888081dex31.htm" TargetMode="External"/><Relationship Id="rId3" Type="http://schemas.openxmlformats.org/officeDocument/2006/relationships/hyperlink" Target="https://www.sec.gov/Archives/edgar/data/1776111/000119312524219621/d888081dex32.htm" TargetMode="External"/><Relationship Id="rId4" Type="http://schemas.openxmlformats.org/officeDocument/2006/relationships/hyperlink" Target="https://www.sec.gov/Archives/edgar/data/1776111/000119312524206227/d790774dex41.htm" TargetMode="External"/><Relationship Id="rId5" Type="http://schemas.openxmlformats.org/officeDocument/2006/relationships/hyperlink" Target="https://www.sec.gov/Archives/edgar/data/1776111/000119312524206227/d790774dex42.htm" TargetMode="External"/><Relationship Id="rId6" Type="http://schemas.openxmlformats.org/officeDocument/2006/relationships/hyperlink" Target="https://www.sec.gov/Archives/edgar/data/1776111/000119312526210593/mbx-ex10_1.htm" TargetMode="External"/><Relationship Id="rId7" Type="http://schemas.openxmlformats.org/officeDocument/2006/relationships/hyperlink" Target="https://www.sec.gov/Archives/edgar/data/1776111/000119312526210593/mbx-ex10_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19000</Words>
  <Characters>105484</Characters>
  <CharactersWithSpaces>125114</CharactersWithSpaces>
  <Paragraphs>4355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